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7D3B" w:rsidRDefault="00AE2E2A">
      <w:pPr>
        <w:pStyle w:val="3GPPHeader"/>
        <w:tabs>
          <w:tab w:val="clear" w:pos="1800"/>
          <w:tab w:val="left" w:pos="1580"/>
        </w:tabs>
        <w:snapToGrid w:val="0"/>
        <w:rPr>
          <w:rFonts w:cs="Arial"/>
          <w:b w:val="0"/>
          <w:sz w:val="22"/>
        </w:rPr>
      </w:pPr>
      <w:bookmarkStart w:id="0" w:name="OLE_LINK2"/>
      <w:bookmarkStart w:id="1" w:name="OLE_LINK1"/>
      <w:r>
        <w:rPr>
          <w:rFonts w:cs="Arial"/>
          <w:sz w:val="22"/>
        </w:rPr>
        <w:t>3GPP TSG RAN WG1 #1</w:t>
      </w:r>
      <w:r>
        <w:rPr>
          <w:rFonts w:cs="Arial" w:hint="eastAsia"/>
          <w:sz w:val="22"/>
        </w:rPr>
        <w:t>10</w:t>
      </w:r>
      <w:r>
        <w:rPr>
          <w:rFonts w:cs="Arial"/>
          <w:sz w:val="22"/>
        </w:rPr>
        <w:t>-bis-e</w:t>
      </w:r>
      <w:r>
        <w:rPr>
          <w:rFonts w:cs="Arial"/>
          <w:sz w:val="22"/>
        </w:rPr>
        <w:tab/>
      </w:r>
      <w:r>
        <w:rPr>
          <w:rFonts w:eastAsia="Calibri" w:cs="Arial"/>
          <w:kern w:val="0"/>
          <w:sz w:val="22"/>
          <w:lang w:eastAsia="en-US"/>
        </w:rPr>
        <w:t>R1-</w:t>
      </w:r>
      <w:r>
        <w:rPr>
          <w:rFonts w:cs="Arial"/>
          <w:kern w:val="0"/>
          <w:sz w:val="22"/>
        </w:rPr>
        <w:t>220</w:t>
      </w:r>
      <w:r>
        <w:rPr>
          <w:rFonts w:cs="Arial" w:hint="eastAsia"/>
          <w:kern w:val="0"/>
          <w:sz w:val="22"/>
        </w:rPr>
        <w:t>8694</w:t>
      </w:r>
    </w:p>
    <w:p w:rsidR="00887D3B" w:rsidRDefault="00AE2E2A">
      <w:pPr>
        <w:pStyle w:val="3GPPHeader"/>
        <w:tabs>
          <w:tab w:val="clear" w:pos="1800"/>
          <w:tab w:val="left" w:pos="1580"/>
        </w:tabs>
        <w:snapToGrid w:val="0"/>
        <w:rPr>
          <w:rFonts w:cs="Arial"/>
          <w:bCs/>
          <w:sz w:val="22"/>
        </w:rPr>
      </w:pPr>
      <w:r>
        <w:rPr>
          <w:rFonts w:cs="Arial"/>
          <w:bCs/>
          <w:sz w:val="22"/>
        </w:rPr>
        <w:t>e-</w:t>
      </w:r>
      <w:r w:rsidR="00DF5806">
        <w:rPr>
          <w:rFonts w:cs="Arial"/>
          <w:bCs/>
          <w:sz w:val="22"/>
        </w:rPr>
        <w:t>M</w:t>
      </w:r>
      <w:r>
        <w:rPr>
          <w:rFonts w:cs="Arial"/>
          <w:bCs/>
          <w:sz w:val="22"/>
        </w:rPr>
        <w:t>eeting, Oct</w:t>
      </w:r>
      <w:r w:rsidR="005A3B37">
        <w:rPr>
          <w:rFonts w:cs="Arial"/>
          <w:bCs/>
          <w:sz w:val="22"/>
        </w:rPr>
        <w:t>ober</w:t>
      </w:r>
      <w:r>
        <w:rPr>
          <w:rFonts w:cs="Arial"/>
          <w:bCs/>
          <w:sz w:val="22"/>
        </w:rPr>
        <w:t xml:space="preserve"> 10th – 19th, 2022</w:t>
      </w:r>
    </w:p>
    <w:p w:rsidR="00887D3B" w:rsidRDefault="00887D3B">
      <w:pPr>
        <w:pStyle w:val="3GPPHeader"/>
        <w:snapToGrid w:val="0"/>
        <w:rPr>
          <w:rFonts w:cs="Arial"/>
          <w:sz w:val="22"/>
        </w:rPr>
      </w:pPr>
    </w:p>
    <w:p w:rsidR="00887D3B" w:rsidRDefault="00AE2E2A">
      <w:pPr>
        <w:pStyle w:val="3GPPHeader"/>
        <w:tabs>
          <w:tab w:val="clear" w:pos="1800"/>
          <w:tab w:val="left" w:pos="1580"/>
        </w:tabs>
        <w:snapToGrid w:val="0"/>
        <w:rPr>
          <w:rFonts w:cs="Arial"/>
          <w:sz w:val="22"/>
        </w:rPr>
      </w:pPr>
      <w:r>
        <w:rPr>
          <w:rFonts w:cs="Arial"/>
          <w:sz w:val="22"/>
        </w:rPr>
        <w:t>Source:</w:t>
      </w:r>
      <w:r>
        <w:rPr>
          <w:rFonts w:cs="Arial"/>
          <w:sz w:val="22"/>
        </w:rPr>
        <w:tab/>
        <w:t>ZTE</w:t>
      </w:r>
    </w:p>
    <w:p w:rsidR="00887D3B" w:rsidRDefault="00AE2E2A">
      <w:pPr>
        <w:pStyle w:val="3GPPHeader"/>
        <w:tabs>
          <w:tab w:val="clear" w:pos="1800"/>
          <w:tab w:val="left" w:pos="1580"/>
        </w:tabs>
        <w:snapToGrid w:val="0"/>
        <w:rPr>
          <w:rFonts w:cs="Arial"/>
          <w:sz w:val="22"/>
        </w:rPr>
      </w:pPr>
      <w:r>
        <w:rPr>
          <w:rFonts w:cs="Arial"/>
          <w:sz w:val="22"/>
        </w:rPr>
        <w:t>Title:</w:t>
      </w:r>
      <w:r>
        <w:rPr>
          <w:rFonts w:cs="Arial"/>
          <w:sz w:val="22"/>
        </w:rPr>
        <w:tab/>
      </w:r>
      <w:r>
        <w:rPr>
          <w:rFonts w:cs="Arial" w:hint="eastAsia"/>
          <w:sz w:val="22"/>
        </w:rPr>
        <w:t>Discussion on network verified UE location for NR NTN</w:t>
      </w:r>
    </w:p>
    <w:p w:rsidR="00887D3B" w:rsidRDefault="00AE2E2A">
      <w:pPr>
        <w:pStyle w:val="3GPPHeader"/>
        <w:tabs>
          <w:tab w:val="clear" w:pos="1800"/>
          <w:tab w:val="left" w:pos="15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w:t>
      </w:r>
      <w:r>
        <w:rPr>
          <w:rFonts w:cs="Arial" w:hint="eastAsia"/>
          <w:sz w:val="22"/>
        </w:rPr>
        <w:t>1</w:t>
      </w:r>
      <w:r>
        <w:rPr>
          <w:rFonts w:cs="Arial"/>
          <w:sz w:val="22"/>
        </w:rPr>
        <w:t>1</w:t>
      </w:r>
      <w:r>
        <w:rPr>
          <w:rFonts w:cs="Arial" w:hint="eastAsia"/>
          <w:sz w:val="22"/>
        </w:rPr>
        <w:t>.2</w:t>
      </w:r>
    </w:p>
    <w:p w:rsidR="00887D3B" w:rsidRDefault="00A7484E">
      <w:pPr>
        <w:pBdr>
          <w:bottom w:val="single" w:sz="6" w:space="1" w:color="auto"/>
        </w:pBdr>
        <w:snapToGrid w:val="0"/>
        <w:jc w:val="both"/>
        <w:rPr>
          <w:rFonts w:ascii="Arial" w:hAnsi="Arial"/>
          <w:b/>
        </w:rPr>
      </w:pPr>
      <w:r>
        <w:rPr>
          <w:rFonts w:ascii="Arial" w:hAnsi="Arial"/>
          <w:b/>
        </w:rPr>
        <w:t xml:space="preserve">Document for: </w:t>
      </w:r>
      <w:r w:rsidR="00AE2E2A">
        <w:rPr>
          <w:rFonts w:ascii="Arial" w:hAnsi="Arial"/>
          <w:b/>
        </w:rPr>
        <w:t>Discussion</w:t>
      </w:r>
      <w:bookmarkEnd w:id="0"/>
      <w:bookmarkEnd w:id="1"/>
    </w:p>
    <w:p w:rsidR="00887D3B" w:rsidRDefault="00AE2E2A">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887D3B" w:rsidRDefault="00AE2E2A">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RAN1</w:t>
      </w:r>
      <w:r>
        <w:rPr>
          <w:rFonts w:ascii="Times New Roman" w:hAnsi="Times New Roman" w:hint="eastAsia"/>
          <w:sz w:val="20"/>
          <w:szCs w:val="20"/>
        </w:rPr>
        <w:t>#</w:t>
      </w:r>
      <w:r>
        <w:rPr>
          <w:rFonts w:ascii="Times New Roman" w:hAnsi="Times New Roman"/>
          <w:sz w:val="20"/>
          <w:szCs w:val="20"/>
        </w:rPr>
        <w:t xml:space="preserve">110 </w:t>
      </w:r>
      <w:r>
        <w:rPr>
          <w:rFonts w:ascii="Times New Roman" w:hAnsi="Times New Roman"/>
          <w:sz w:val="20"/>
          <w:szCs w:val="20"/>
        </w:rPr>
        <w:fldChar w:fldCharType="begin"/>
      </w:r>
      <w:r>
        <w:rPr>
          <w:rFonts w:ascii="Times New Roman" w:hAnsi="Times New Roman"/>
          <w:sz w:val="20"/>
          <w:szCs w:val="20"/>
        </w:rPr>
        <w:instrText xml:space="preserve"> REF _Ref32552 \w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the</w:t>
      </w:r>
      <w:r>
        <w:rPr>
          <w:rFonts w:ascii="Times New Roman" w:hAnsi="Times New Roman" w:hint="eastAsia"/>
          <w:sz w:val="20"/>
          <w:szCs w:val="20"/>
        </w:rPr>
        <w:t xml:space="preserve"> </w:t>
      </w:r>
      <w:r>
        <w:rPr>
          <w:rFonts w:ascii="Times New Roman" w:hAnsi="Times New Roman"/>
          <w:sz w:val="20"/>
          <w:szCs w:val="20"/>
        </w:rPr>
        <w:t>baseline method, evaluation metric, and assumptions were discussed and following agreements are achieved</w:t>
      </w:r>
      <w:r>
        <w:rPr>
          <w:rFonts w:ascii="Times New Roman" w:hAnsi="Times New Roman" w:hint="eastAsia"/>
          <w:sz w:val="20"/>
          <w:szCs w:val="20"/>
        </w:rPr>
        <w:t>:</w:t>
      </w:r>
    </w:p>
    <w:p w:rsidR="00887D3B" w:rsidRDefault="00AE2E2A">
      <w:pPr>
        <w:pStyle w:val="aa"/>
        <w:spacing w:beforeAutospacing="0" w:afterAutospacing="0"/>
        <w:ind w:leftChars="200" w:left="440"/>
        <w:rPr>
          <w:rFonts w:ascii="Times New Roman" w:hAnsi="Times New Roman"/>
          <w:b/>
          <w:sz w:val="20"/>
          <w:szCs w:val="20"/>
        </w:rPr>
      </w:pPr>
      <w:r>
        <w:rPr>
          <w:rFonts w:ascii="Times New Roman" w:hAnsi="Times New Roman"/>
          <w:b/>
          <w:sz w:val="20"/>
          <w:szCs w:val="20"/>
          <w:highlight w:val="green"/>
        </w:rPr>
        <w:t>Agreement</w:t>
      </w:r>
    </w:p>
    <w:p w:rsidR="00887D3B" w:rsidRDefault="00AE2E2A">
      <w:pPr>
        <w:pStyle w:val="aa"/>
        <w:spacing w:beforeAutospacing="0" w:afterAutospacing="0"/>
        <w:ind w:leftChars="200" w:left="440"/>
        <w:rPr>
          <w:rFonts w:ascii="Times New Roman" w:hAnsi="Times New Roman"/>
          <w:sz w:val="20"/>
          <w:szCs w:val="20"/>
        </w:rPr>
      </w:pPr>
      <w:r>
        <w:rPr>
          <w:rFonts w:ascii="Times New Roman" w:hAnsi="Times New Roman"/>
          <w:sz w:val="20"/>
          <w:szCs w:val="20"/>
        </w:rPr>
        <w:t>The following 3GPP defined RAT dependent positioning methods shall be considered as starting point for the study on Network verified UE location in case of NGSO based NTN deployment:</w:t>
      </w:r>
    </w:p>
    <w:p w:rsidR="00887D3B" w:rsidRDefault="00AE2E2A">
      <w:pPr>
        <w:pStyle w:val="af0"/>
        <w:numPr>
          <w:ilvl w:val="0"/>
          <w:numId w:val="5"/>
        </w:numPr>
        <w:spacing w:after="0" w:line="240" w:lineRule="auto"/>
        <w:ind w:leftChars="563" w:left="1599" w:firstLineChars="0"/>
        <w:rPr>
          <w:rFonts w:ascii="Times New Roman" w:hAnsi="Times New Roman" w:cs="Times New Roman"/>
          <w:sz w:val="20"/>
          <w:szCs w:val="20"/>
        </w:rPr>
      </w:pPr>
      <w:r>
        <w:rPr>
          <w:rFonts w:ascii="Times New Roman" w:hAnsi="Times New Roman" w:cs="Times New Roman"/>
          <w:sz w:val="20"/>
          <w:szCs w:val="20"/>
        </w:rPr>
        <w:t>Multi-RTT</w:t>
      </w:r>
    </w:p>
    <w:p w:rsidR="00887D3B" w:rsidRDefault="00AE2E2A">
      <w:pPr>
        <w:pStyle w:val="af0"/>
        <w:numPr>
          <w:ilvl w:val="0"/>
          <w:numId w:val="5"/>
        </w:numPr>
        <w:spacing w:after="0" w:line="240" w:lineRule="auto"/>
        <w:ind w:leftChars="563" w:left="1599" w:firstLineChars="0"/>
        <w:rPr>
          <w:rFonts w:ascii="Times New Roman" w:hAnsi="Times New Roman" w:cs="Times New Roman"/>
          <w:sz w:val="20"/>
          <w:szCs w:val="20"/>
        </w:rPr>
      </w:pPr>
      <w:r>
        <w:rPr>
          <w:rFonts w:ascii="Times New Roman" w:hAnsi="Times New Roman" w:cs="Times New Roman"/>
          <w:sz w:val="20"/>
          <w:szCs w:val="20"/>
        </w:rPr>
        <w:t>DL/UL-TDOA</w:t>
      </w:r>
    </w:p>
    <w:p w:rsidR="00887D3B" w:rsidRDefault="00AE2E2A">
      <w:pPr>
        <w:pStyle w:val="aa"/>
        <w:spacing w:beforeAutospacing="0" w:afterAutospacing="0"/>
        <w:ind w:leftChars="200" w:left="440"/>
        <w:rPr>
          <w:rFonts w:ascii="Times New Roman" w:hAnsi="Times New Roman"/>
          <w:sz w:val="20"/>
          <w:szCs w:val="20"/>
        </w:rPr>
      </w:pPr>
      <w:r>
        <w:rPr>
          <w:rFonts w:ascii="Times New Roman" w:hAnsi="Times New Roman"/>
          <w:sz w:val="20"/>
          <w:szCs w:val="20"/>
        </w:rPr>
        <w:t>Note-1: Other methods (e.g. AoA based) are not precluded</w:t>
      </w:r>
    </w:p>
    <w:p w:rsidR="00887D3B" w:rsidRDefault="00AE2E2A">
      <w:pPr>
        <w:pStyle w:val="aa"/>
        <w:spacing w:beforeAutospacing="0" w:afterAutospacing="0"/>
        <w:ind w:leftChars="200" w:left="440"/>
        <w:rPr>
          <w:rFonts w:ascii="Times New Roman" w:hAnsi="Times New Roman"/>
          <w:sz w:val="20"/>
          <w:szCs w:val="20"/>
        </w:rPr>
      </w:pPr>
      <w:r>
        <w:rPr>
          <w:rFonts w:ascii="Times New Roman" w:hAnsi="Times New Roman"/>
          <w:sz w:val="20"/>
          <w:szCs w:val="20"/>
        </w:rPr>
        <w:t>Note-2: RAT independent positioning methods are not under the scope of the study</w:t>
      </w:r>
    </w:p>
    <w:p w:rsidR="00887D3B" w:rsidRDefault="00AE2E2A">
      <w:pPr>
        <w:pStyle w:val="aa"/>
        <w:spacing w:beforeAutospacing="0" w:afterAutospacing="0"/>
        <w:ind w:leftChars="200" w:left="440"/>
        <w:rPr>
          <w:rFonts w:ascii="Times New Roman" w:hAnsi="Times New Roman"/>
          <w:b/>
          <w:sz w:val="20"/>
          <w:szCs w:val="20"/>
        </w:rPr>
      </w:pPr>
      <w:r>
        <w:rPr>
          <w:rFonts w:ascii="Times New Roman" w:hAnsi="Times New Roman"/>
          <w:b/>
          <w:sz w:val="20"/>
          <w:szCs w:val="20"/>
          <w:highlight w:val="green"/>
        </w:rPr>
        <w:t>Agreement</w:t>
      </w:r>
    </w:p>
    <w:p w:rsidR="00887D3B" w:rsidRDefault="00AE2E2A">
      <w:pPr>
        <w:pStyle w:val="aa"/>
        <w:spacing w:beforeAutospacing="0" w:afterAutospacing="0"/>
        <w:ind w:leftChars="200" w:left="440"/>
        <w:rPr>
          <w:rFonts w:ascii="Times New Roman" w:hAnsi="Times New Roman"/>
          <w:sz w:val="20"/>
          <w:szCs w:val="20"/>
        </w:rPr>
      </w:pPr>
      <w:r>
        <w:rPr>
          <w:rFonts w:ascii="Times New Roman" w:hAnsi="Times New Roman"/>
          <w:sz w:val="20"/>
          <w:szCs w:val="20"/>
        </w:rPr>
        <w:t>For evaluating positioning performance in NTN, the following metrics apply.</w:t>
      </w:r>
    </w:p>
    <w:p w:rsidR="00887D3B" w:rsidRDefault="00AE2E2A">
      <w:pPr>
        <w:pStyle w:val="aa"/>
        <w:numPr>
          <w:ilvl w:val="0"/>
          <w:numId w:val="6"/>
        </w:numPr>
        <w:spacing w:beforeAutospacing="0" w:afterAutospacing="0" w:line="240" w:lineRule="auto"/>
        <w:ind w:leftChars="200" w:left="800"/>
        <w:jc w:val="both"/>
        <w:rPr>
          <w:rFonts w:ascii="Times New Roman" w:hAnsi="Times New Roman"/>
          <w:sz w:val="20"/>
          <w:szCs w:val="20"/>
        </w:rPr>
      </w:pPr>
      <w:r>
        <w:rPr>
          <w:rFonts w:ascii="Times New Roman" w:hAnsi="Times New Roman"/>
          <w:sz w:val="20"/>
          <w:szCs w:val="20"/>
        </w:rPr>
        <w:t>Horizontal accuracy:</w:t>
      </w:r>
    </w:p>
    <w:p w:rsidR="00887D3B" w:rsidRDefault="00AE2E2A">
      <w:pPr>
        <w:pStyle w:val="af0"/>
        <w:numPr>
          <w:ilvl w:val="0"/>
          <w:numId w:val="5"/>
        </w:numPr>
        <w:spacing w:after="0" w:line="240" w:lineRule="auto"/>
        <w:ind w:leftChars="563" w:left="1599" w:firstLineChars="0"/>
        <w:rPr>
          <w:rFonts w:ascii="Times New Roman" w:hAnsi="Times New Roman" w:cs="Times New Roman"/>
          <w:sz w:val="20"/>
          <w:szCs w:val="20"/>
        </w:rPr>
      </w:pPr>
      <w:r>
        <w:rPr>
          <w:rFonts w:ascii="Times New Roman" w:hAnsi="Times New Roman" w:cs="Times New Roman"/>
          <w:sz w:val="20"/>
          <w:szCs w:val="20"/>
        </w:rPr>
        <w:t>Horizontal accuracy is the difference between a calculated horizontal position by the network and the actual horizontal position of a UE (for evaluation purposes)</w:t>
      </w:r>
    </w:p>
    <w:p w:rsidR="00887D3B" w:rsidRDefault="00AE2E2A">
      <w:pPr>
        <w:pStyle w:val="af0"/>
        <w:numPr>
          <w:ilvl w:val="0"/>
          <w:numId w:val="5"/>
        </w:numPr>
        <w:spacing w:after="0" w:line="240" w:lineRule="auto"/>
        <w:ind w:leftChars="563" w:left="1599" w:firstLineChars="0"/>
        <w:rPr>
          <w:rFonts w:ascii="Times New Roman" w:hAnsi="Times New Roman" w:cs="Times New Roman"/>
          <w:sz w:val="20"/>
          <w:szCs w:val="20"/>
        </w:rPr>
      </w:pPr>
      <w:r>
        <w:rPr>
          <w:rFonts w:ascii="Times New Roman" w:hAnsi="Times New Roman" w:cs="Times New Roman"/>
          <w:sz w:val="20"/>
          <w:szCs w:val="20"/>
        </w:rPr>
        <w:t>At least CDFs of horizontal positioning errors are used as a performance metrics in NR positioning evaluations</w:t>
      </w:r>
    </w:p>
    <w:p w:rsidR="00887D3B" w:rsidRDefault="00AE2E2A">
      <w:pPr>
        <w:pStyle w:val="af0"/>
        <w:numPr>
          <w:ilvl w:val="0"/>
          <w:numId w:val="5"/>
        </w:numPr>
        <w:spacing w:after="0" w:line="240" w:lineRule="auto"/>
        <w:ind w:leftChars="563" w:left="1599" w:firstLineChars="0"/>
        <w:rPr>
          <w:rFonts w:ascii="Times New Roman" w:hAnsi="Times New Roman" w:cs="Times New Roman"/>
          <w:sz w:val="20"/>
          <w:szCs w:val="20"/>
        </w:rPr>
      </w:pPr>
      <w:r>
        <w:rPr>
          <w:rFonts w:ascii="Times New Roman" w:hAnsi="Times New Roman" w:cs="Times New Roman"/>
          <w:sz w:val="20"/>
          <w:szCs w:val="20"/>
        </w:rPr>
        <w:t>At least the following percentiles of positioning error is analyzed 50%, 67%, 80%, 90%, 95%</w:t>
      </w:r>
    </w:p>
    <w:p w:rsidR="00887D3B" w:rsidRDefault="00AE2E2A">
      <w:pPr>
        <w:pStyle w:val="aa"/>
        <w:spacing w:beforeAutospacing="0" w:afterAutospacing="0"/>
        <w:ind w:leftChars="200" w:left="440"/>
        <w:rPr>
          <w:rFonts w:ascii="Times New Roman" w:hAnsi="Times New Roman"/>
          <w:b/>
          <w:bCs/>
          <w:sz w:val="20"/>
          <w:szCs w:val="20"/>
          <w:highlight w:val="green"/>
        </w:rPr>
      </w:pPr>
      <w:r>
        <w:rPr>
          <w:rFonts w:ascii="Times New Roman" w:hAnsi="Times New Roman"/>
          <w:b/>
          <w:bCs/>
          <w:sz w:val="20"/>
          <w:szCs w:val="20"/>
          <w:highlight w:val="green"/>
        </w:rPr>
        <w:t xml:space="preserve">Agreement: </w:t>
      </w:r>
    </w:p>
    <w:p w:rsidR="00887D3B" w:rsidRDefault="00AE2E2A">
      <w:pPr>
        <w:pStyle w:val="xmsonormal0"/>
        <w:ind w:leftChars="200" w:left="440"/>
        <w:rPr>
          <w:rStyle w:val="ad"/>
          <w:rFonts w:cs="Times New Roman"/>
          <w:b w:val="0"/>
          <w:szCs w:val="20"/>
          <w:lang w:eastAsia="zh-CN"/>
        </w:rPr>
      </w:pPr>
      <w:r>
        <w:rPr>
          <w:rStyle w:val="ad"/>
          <w:rFonts w:cs="Times New Roman"/>
          <w:b w:val="0"/>
          <w:szCs w:val="20"/>
          <w:lang w:eastAsia="zh-CN"/>
        </w:rPr>
        <w:t>The following parameters are assumed for the evaluation of RAT dependent positioning methods study in NTN:</w:t>
      </w:r>
    </w:p>
    <w:p w:rsidR="00887D3B" w:rsidRDefault="00887D3B">
      <w:pPr>
        <w:pStyle w:val="xmsonormal0"/>
        <w:ind w:leftChars="200" w:left="440"/>
        <w:rPr>
          <w:rFonts w:cs="Times New Roman"/>
          <w:szCs w:val="20"/>
          <w:lang w:eastAsia="zh-CN"/>
        </w:rPr>
      </w:pPr>
    </w:p>
    <w:tbl>
      <w:tblPr>
        <w:tblW w:w="5000" w:type="pct"/>
        <w:tblInd w:w="440" w:type="dxa"/>
        <w:tblCellMar>
          <w:left w:w="0" w:type="dxa"/>
          <w:right w:w="0" w:type="dxa"/>
        </w:tblCellMar>
        <w:tblLook w:val="04A0" w:firstRow="1" w:lastRow="0" w:firstColumn="1" w:lastColumn="0" w:noHBand="0" w:noVBand="1"/>
      </w:tblPr>
      <w:tblGrid>
        <w:gridCol w:w="4343"/>
        <w:gridCol w:w="4997"/>
      </w:tblGrid>
      <w:tr w:rsidR="00887D3B">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tcPr>
          <w:p w:rsidR="00887D3B" w:rsidRDefault="00AE2E2A">
            <w:pPr>
              <w:pStyle w:val="xmsonormal0"/>
              <w:rPr>
                <w:rFonts w:cs="Times New Roman"/>
                <w:color w:val="FFFFFF" w:themeColor="background1"/>
                <w:szCs w:val="20"/>
              </w:rPr>
            </w:pPr>
            <w:r>
              <w:rPr>
                <w:rStyle w:val="ad"/>
                <w:rFonts w:cs="Times New Roman"/>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tcPr>
          <w:p w:rsidR="00887D3B" w:rsidRDefault="00AE2E2A">
            <w:pPr>
              <w:pStyle w:val="xmsonormal0"/>
              <w:rPr>
                <w:rFonts w:cs="Times New Roman"/>
                <w:color w:val="FFFFFF" w:themeColor="background1"/>
                <w:szCs w:val="20"/>
              </w:rPr>
            </w:pPr>
            <w:r>
              <w:rPr>
                <w:rStyle w:val="ad"/>
                <w:rFonts w:cs="Times New Roman"/>
                <w:color w:val="FFFFFF" w:themeColor="background1"/>
                <w:szCs w:val="20"/>
              </w:rPr>
              <w:t>Description/Value</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Rural, LOS</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600km, optional: 1200km</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 xml:space="preserve">Reuse Set-1satellite parameters as in table 6.1.1.1-1/2 of TR38.821 </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Based on section 6.7.2 of TR 38.811</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FR1: 2GHz, S-band (n256). Optional: FR2</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BW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To be reported by companies</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lang w:val="da-DK"/>
              </w:rPr>
              <w:t>15 for FR1, optional: 120 kHz for FR2</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Number of satellite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1 for single satellite case,</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To be reported by companies</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Handheld terminal, Optional: VSAT</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Handheld UE characteristics as in Table 6.1.1.1-3 of TR38.821 with update of polarization, Tx/Rx antenna gain, and antenna type and configuration as agreed under AI 9.12.1</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Positioning signals (Note 1)</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To be reported</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To be reported</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To be reported</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To be reported</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lastRenderedPageBreak/>
              <w:t>number of occasions used per positioning estimate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To be reported</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Time window for measurement collection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To be reported</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 xml:space="preserve">To be reported </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Reference Signal Transmission Bandwidth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 xml:space="preserve">To be reported </w:t>
            </w:r>
          </w:p>
        </w:tc>
      </w:tr>
      <w:tr w:rsidR="00887D3B">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Satellite</w:t>
            </w:r>
          </w:p>
        </w:tc>
      </w:tr>
      <w:tr w:rsidR="00887D3B">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 xml:space="preserve">Description of positioning technique / applied positioning algorithm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To be reported</w:t>
            </w:r>
          </w:p>
        </w:tc>
      </w:tr>
      <w:tr w:rsidR="00887D3B">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3km/h</w:t>
            </w:r>
          </w:p>
        </w:tc>
      </w:tr>
      <w:tr w:rsidR="00887D3B">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Maximum timing measurement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To be reported</w:t>
            </w:r>
          </w:p>
        </w:tc>
      </w:tr>
      <w:tr w:rsidR="00887D3B">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Performance metrics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Horizontal accuracy (UE 2D position accuracy)</w:t>
            </w:r>
          </w:p>
        </w:tc>
      </w:tr>
      <w:tr w:rsidR="00887D3B">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Additional notes, if any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Note 1: Time-related measurements can be performed via other downlink and uplink signals than PRS and SRS</w:t>
            </w:r>
          </w:p>
          <w:p w:rsidR="00887D3B" w:rsidRDefault="00AE2E2A">
            <w:pPr>
              <w:pStyle w:val="xmsonormal0"/>
              <w:rPr>
                <w:rFonts w:cs="Times New Roman"/>
                <w:szCs w:val="20"/>
              </w:rPr>
            </w:pPr>
            <w:r>
              <w:rPr>
                <w:rFonts w:cs="Times New Roman"/>
                <w:szCs w:val="20"/>
              </w:rPr>
              <w:t> </w:t>
            </w:r>
          </w:p>
          <w:p w:rsidR="00887D3B" w:rsidRDefault="00AE2E2A">
            <w:pPr>
              <w:pStyle w:val="xmsonormal0"/>
              <w:rPr>
                <w:rFonts w:cs="Times New Roman"/>
                <w:szCs w:val="20"/>
              </w:rPr>
            </w:pPr>
            <w:r>
              <w:rPr>
                <w:rFonts w:cs="Times New Roman"/>
                <w:szCs w:val="20"/>
              </w:rPr>
              <w:t>Note 2: The corresponding link budget should also be reported and the verification procedure should be done within the restriction of minimum elevation angle for service, e.g., 30 degree for LEO</w:t>
            </w:r>
          </w:p>
        </w:tc>
      </w:tr>
    </w:tbl>
    <w:p w:rsidR="00887D3B" w:rsidRDefault="00AE2E2A">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 xml:space="preserve">the solutions </w:t>
      </w:r>
      <w:r>
        <w:rPr>
          <w:rFonts w:ascii="Times New Roman" w:hAnsi="Times New Roman"/>
          <w:sz w:val="20"/>
          <w:szCs w:val="20"/>
        </w:rPr>
        <w:t xml:space="preserve">for position verification </w:t>
      </w:r>
      <w:r>
        <w:rPr>
          <w:rFonts w:ascii="Times New Roman" w:hAnsi="Times New Roman" w:hint="eastAsia"/>
          <w:sz w:val="20"/>
          <w:szCs w:val="20"/>
        </w:rPr>
        <w:t>in NTN</w:t>
      </w:r>
      <w:r>
        <w:rPr>
          <w:rFonts w:ascii="Times New Roman" w:hAnsi="Times New Roman"/>
          <w:sz w:val="20"/>
          <w:szCs w:val="20"/>
        </w:rPr>
        <w:t xml:space="preserve"> </w:t>
      </w:r>
      <w:r>
        <w:rPr>
          <w:rFonts w:ascii="Times New Roman" w:hAnsi="Times New Roman" w:hint="eastAsia"/>
          <w:sz w:val="20"/>
          <w:szCs w:val="20"/>
        </w:rPr>
        <w:t>based on existing network positioning methods are evaluated</w:t>
      </w:r>
      <w:r>
        <w:rPr>
          <w:rFonts w:ascii="Times New Roman" w:hAnsi="Times New Roman"/>
          <w:sz w:val="20"/>
          <w:szCs w:val="20"/>
        </w:rPr>
        <w:t xml:space="preserve"> based on the agreed metrics and assumptions. </w:t>
      </w:r>
    </w:p>
    <w:p w:rsidR="00887D3B" w:rsidRDefault="00AE2E2A">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Clarification on the dimension of positioning</w:t>
      </w:r>
    </w:p>
    <w:p w:rsidR="00887D3B" w:rsidRDefault="00AE2E2A">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w:t>
      </w:r>
      <w:r>
        <w:rPr>
          <w:rFonts w:ascii="Times New Roman" w:eastAsia="宋体" w:hAnsi="Times New Roman" w:cs="Times New Roman"/>
          <w:sz w:val="20"/>
          <w:szCs w:val="20"/>
        </w:rPr>
        <w:t>RAN1#110</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the horizontal accuracy, i.e., UE 2D position accuracy, has been agreed </w:t>
      </w:r>
      <w:r w:rsidR="0009552F">
        <w:rPr>
          <w:rFonts w:ascii="Times New Roman" w:eastAsia="宋体" w:hAnsi="Times New Roman" w:cs="Times New Roman" w:hint="eastAsia"/>
          <w:sz w:val="20"/>
          <w:szCs w:val="20"/>
        </w:rPr>
        <w:t>as</w:t>
      </w:r>
      <w:r w:rsidR="0009552F">
        <w:rPr>
          <w:rFonts w:ascii="Times New Roman" w:eastAsia="宋体" w:hAnsi="Times New Roman" w:cs="Times New Roman"/>
          <w:sz w:val="20"/>
          <w:szCs w:val="20"/>
        </w:rPr>
        <w:t xml:space="preserve"> </w:t>
      </w:r>
      <w:bookmarkStart w:id="3" w:name="_GoBack"/>
      <w:bookmarkEnd w:id="3"/>
      <w:r>
        <w:rPr>
          <w:rFonts w:ascii="Times New Roman" w:eastAsia="宋体" w:hAnsi="Times New Roman" w:cs="Times New Roman"/>
          <w:sz w:val="20"/>
          <w:szCs w:val="20"/>
        </w:rPr>
        <w:t>the performance metric. And the RAT dependent positioning methods are agreed to be the starting point of evaluation. However, with these agreements, there could be two possible assumptions on positioning methods:</w:t>
      </w:r>
    </w:p>
    <w:p w:rsidR="00887D3B" w:rsidRDefault="00AE2E2A">
      <w:pPr>
        <w:pStyle w:val="af0"/>
        <w:numPr>
          <w:ilvl w:val="0"/>
          <w:numId w:val="7"/>
        </w:numPr>
        <w:spacing w:after="120"/>
        <w:ind w:firstLineChars="0"/>
        <w:rPr>
          <w:rFonts w:ascii="Times New Roman" w:eastAsia="宋体" w:hAnsi="Times New Roman" w:cs="Times New Roman"/>
          <w:sz w:val="20"/>
          <w:szCs w:val="20"/>
        </w:rPr>
      </w:pPr>
      <w:r>
        <w:rPr>
          <w:rFonts w:ascii="Times New Roman" w:eastAsia="宋体" w:hAnsi="Times New Roman" w:cs="Times New Roman"/>
          <w:sz w:val="20"/>
          <w:szCs w:val="20"/>
        </w:rPr>
        <w:t>The height of UE is known and 2D positioning methods are applied.</w:t>
      </w:r>
    </w:p>
    <w:p w:rsidR="00887D3B" w:rsidRDefault="00AE2E2A">
      <w:pPr>
        <w:pStyle w:val="af0"/>
        <w:numPr>
          <w:ilvl w:val="0"/>
          <w:numId w:val="7"/>
        </w:numPr>
        <w:spacing w:after="120"/>
        <w:ind w:firstLineChars="0"/>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he height of UE is unknown. 3D positioning methods are applied but only 2D error is counted.</w:t>
      </w:r>
    </w:p>
    <w:p w:rsidR="00887D3B" w:rsidRDefault="00AE2E2A">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For above two assumptions, the second one is more reasonable and should be adopted.</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If first assumption is adopted, UE should report its height to network since it may be on a mountain or a plane, where the height is non-zero. However, this information is similar to the GNSS information, which is RAT independent and may not be reliable. </w:t>
      </w:r>
      <w:r w:rsidR="00C622B6">
        <w:rPr>
          <w:rFonts w:ascii="Times New Roman" w:eastAsia="宋体" w:hAnsi="Times New Roman" w:cs="Times New Roman"/>
          <w:sz w:val="20"/>
          <w:szCs w:val="20"/>
        </w:rPr>
        <w:t>Meanwhile, before the initialized service from the network after location verification, it’s also not possible to enable the height report. T</w:t>
      </w:r>
      <w:r>
        <w:rPr>
          <w:rFonts w:ascii="Times New Roman" w:eastAsia="宋体" w:hAnsi="Times New Roman" w:cs="Times New Roman"/>
          <w:sz w:val="20"/>
          <w:szCs w:val="20"/>
        </w:rPr>
        <w:t>herefore,</w:t>
      </w:r>
      <w:r w:rsidR="00795A49">
        <w:rPr>
          <w:rFonts w:ascii="Times New Roman" w:eastAsia="宋体" w:hAnsi="Times New Roman" w:cs="Times New Roman"/>
          <w:sz w:val="20"/>
          <w:szCs w:val="20"/>
        </w:rPr>
        <w:t xml:space="preserve"> 3D positioning</w:t>
      </w:r>
      <w:r>
        <w:rPr>
          <w:rFonts w:ascii="Times New Roman" w:eastAsia="宋体" w:hAnsi="Times New Roman" w:cs="Times New Roman"/>
          <w:sz w:val="20"/>
          <w:szCs w:val="20"/>
        </w:rPr>
        <w:t xml:space="preserve"> should be </w:t>
      </w:r>
      <w:r w:rsidR="00795A49">
        <w:rPr>
          <w:rFonts w:ascii="Times New Roman" w:eastAsia="宋体" w:hAnsi="Times New Roman" w:cs="Times New Roman"/>
          <w:sz w:val="20"/>
          <w:szCs w:val="20"/>
        </w:rPr>
        <w:t xml:space="preserve">assumed as baseline </w:t>
      </w:r>
      <w:r>
        <w:rPr>
          <w:rFonts w:ascii="Times New Roman" w:eastAsia="宋体" w:hAnsi="Times New Roman" w:cs="Times New Roman"/>
          <w:sz w:val="20"/>
          <w:szCs w:val="20"/>
        </w:rPr>
        <w:t>and 2D positioning error can be considered for performance evaluation.</w:t>
      </w:r>
    </w:p>
    <w:p w:rsidR="00887D3B" w:rsidRDefault="00AE2E2A">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Observation 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UE height reported by UE may not be trustable</w:t>
      </w:r>
      <w:r w:rsidR="00EC0278">
        <w:rPr>
          <w:rFonts w:ascii="Times New Roman" w:eastAsia="宋体" w:hAnsi="Times New Roman" w:cs="Times New Roman"/>
          <w:i/>
          <w:sz w:val="20"/>
          <w:szCs w:val="20"/>
        </w:rPr>
        <w:t xml:space="preserve"> (e.g., similar concern as GNSS)</w:t>
      </w:r>
      <w:r w:rsidR="00FF6E03">
        <w:rPr>
          <w:rFonts w:ascii="Times New Roman" w:eastAsia="宋体" w:hAnsi="Times New Roman" w:cs="Times New Roman"/>
          <w:i/>
          <w:sz w:val="20"/>
          <w:szCs w:val="20"/>
        </w:rPr>
        <w:t xml:space="preserve"> and available before </w:t>
      </w:r>
      <w:r w:rsidR="00BE6485">
        <w:rPr>
          <w:rFonts w:ascii="Times New Roman" w:eastAsia="宋体" w:hAnsi="Times New Roman" w:cs="Times New Roman"/>
          <w:i/>
          <w:sz w:val="20"/>
          <w:szCs w:val="20"/>
        </w:rPr>
        <w:t xml:space="preserve">completion of location </w:t>
      </w:r>
      <w:r w:rsidR="00FF6E03">
        <w:rPr>
          <w:rFonts w:ascii="Times New Roman" w:eastAsia="宋体" w:hAnsi="Times New Roman" w:cs="Times New Roman"/>
          <w:i/>
          <w:sz w:val="20"/>
          <w:szCs w:val="20"/>
        </w:rPr>
        <w:t>verification</w:t>
      </w:r>
      <w:r w:rsidR="00D96ABF">
        <w:rPr>
          <w:rFonts w:ascii="Times New Roman" w:eastAsia="宋体" w:hAnsi="Times New Roman" w:cs="Times New Roman"/>
          <w:i/>
          <w:sz w:val="20"/>
          <w:szCs w:val="20"/>
        </w:rPr>
        <w:t>.</w:t>
      </w:r>
    </w:p>
    <w:p w:rsidR="00887D3B" w:rsidRDefault="00AE2E2A">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Proposal 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3</w:t>
      </w:r>
      <w:r>
        <w:rPr>
          <w:rFonts w:ascii="Times New Roman" w:eastAsia="宋体" w:hAnsi="Times New Roman" w:cs="Times New Roman" w:hint="eastAsia"/>
          <w:i/>
          <w:sz w:val="20"/>
          <w:szCs w:val="20"/>
        </w:rPr>
        <w:t>D</w:t>
      </w:r>
      <w:r>
        <w:rPr>
          <w:rFonts w:ascii="Times New Roman" w:eastAsia="宋体" w:hAnsi="Times New Roman" w:cs="Times New Roman"/>
          <w:i/>
          <w:sz w:val="20"/>
          <w:szCs w:val="20"/>
        </w:rPr>
        <w:t xml:space="preserve"> positioning methods should be applied even if 2D positioning error is the performance metric</w:t>
      </w:r>
      <w:r>
        <w:rPr>
          <w:rFonts w:ascii="Times New Roman" w:eastAsia="宋体" w:hAnsi="Times New Roman" w:cs="Times New Roman" w:hint="eastAsia"/>
          <w:i/>
          <w:sz w:val="20"/>
          <w:szCs w:val="20"/>
        </w:rPr>
        <w:t xml:space="preserve">. </w:t>
      </w:r>
    </w:p>
    <w:p w:rsidR="00887D3B" w:rsidRDefault="00AE2E2A">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 xml:space="preserve">Evaluation of </w:t>
      </w:r>
      <w:r>
        <w:rPr>
          <w:rFonts w:eastAsia="黑体" w:cs="Times New Roman"/>
          <w:b/>
          <w:bCs/>
          <w:sz w:val="28"/>
          <w:szCs w:val="30"/>
          <w:lang w:val="en-US"/>
        </w:rPr>
        <w:t>RAT dependent positioning methods</w:t>
      </w:r>
    </w:p>
    <w:p w:rsidR="00887D3B" w:rsidRDefault="00AE2E2A">
      <w:pPr>
        <w:pStyle w:val="2"/>
        <w:keepNext w:val="0"/>
        <w:keepLines w:val="0"/>
        <w:widowControl w:val="0"/>
        <w:tabs>
          <w:tab w:val="left" w:pos="432"/>
        </w:tabs>
        <w:overflowPunct/>
        <w:snapToGrid w:val="0"/>
        <w:spacing w:beforeLines="50" w:before="120" w:afterLines="50" w:after="120"/>
        <w:ind w:left="431" w:hanging="431"/>
        <w:textAlignment w:val="auto"/>
        <w:rPr>
          <w:rFonts w:eastAsia="黑体" w:cs="Times New Roman"/>
          <w:b/>
          <w:bCs/>
          <w:sz w:val="22"/>
          <w:szCs w:val="20"/>
          <w:lang w:val="en-US"/>
        </w:rPr>
      </w:pPr>
      <w:r>
        <w:rPr>
          <w:rFonts w:eastAsia="黑体" w:cs="Times New Roman"/>
          <w:b/>
          <w:bCs/>
          <w:sz w:val="22"/>
          <w:szCs w:val="20"/>
          <w:lang w:val="en-US"/>
        </w:rPr>
        <w:t>3.1 Timing measurement error</w:t>
      </w:r>
    </w:p>
    <w:p w:rsidR="00887D3B" w:rsidRDefault="00AE2E2A">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n legacy 3GPP defined RAT dependent positioning method</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the RTT and TDOA measurement are based on SRS and PRS, which will be affected by SNR. In NTN, the </w:t>
      </w:r>
      <w:r>
        <w:rPr>
          <w:rFonts w:ascii="Times New Roman" w:eastAsia="宋体" w:hAnsi="Times New Roman" w:cs="Times New Roman" w:hint="eastAsia"/>
          <w:sz w:val="20"/>
          <w:szCs w:val="20"/>
        </w:rPr>
        <w:t>link</w:t>
      </w:r>
      <w:r>
        <w:rPr>
          <w:rFonts w:ascii="Times New Roman" w:eastAsia="宋体" w:hAnsi="Times New Roman" w:cs="Times New Roman"/>
          <w:sz w:val="20"/>
          <w:szCs w:val="20"/>
        </w:rPr>
        <w:t xml:space="preserve"> budget will be limited due to long distance between UE and satellite. Hence, the timing measurement performance need to be evaluated to see whether RAT dependent positioning methods can work in NTN.</w:t>
      </w:r>
    </w:p>
    <w:p w:rsidR="00887D3B" w:rsidRDefault="00AE2E2A">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evaluation, LEO-600 rural LOS S band scenario is assumed. The elevation angle is assumed as 30 degree elevation angle. The UE antenna gain is assumed as -5.5 dB as updated in latest WID in RAN#97e. With the </w:t>
      </w:r>
      <w:r>
        <w:rPr>
          <w:rFonts w:ascii="Times New Roman" w:eastAsia="宋体" w:hAnsi="Times New Roman" w:cs="Times New Roman"/>
          <w:sz w:val="20"/>
          <w:szCs w:val="20"/>
        </w:rPr>
        <w:lastRenderedPageBreak/>
        <w:t xml:space="preserve">assumptions, the link budget is -20.2 dB for UL and -1.9 dB for DL. The evaluated CDFs of timing measurement error for UL and DL are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_Ref115037113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hint="eastAsia"/>
          <w:sz w:val="20"/>
          <w:szCs w:val="20"/>
        </w:rPr>
        <w:t>Figure 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p>
    <w:p w:rsidR="00887D3B" w:rsidRDefault="00AE2E2A">
      <w:pPr>
        <w:numPr>
          <w:ilvl w:val="7"/>
          <w:numId w:val="0"/>
        </w:numPr>
        <w:spacing w:after="120"/>
        <w:jc w:val="center"/>
        <w:rPr>
          <w:rFonts w:ascii="Times New Roman" w:eastAsia="宋体" w:hAnsi="Times New Roman" w:cs="Times New Roman"/>
          <w:sz w:val="20"/>
          <w:szCs w:val="20"/>
        </w:rPr>
      </w:pPr>
      <w:r>
        <w:rPr>
          <w:noProof/>
        </w:rPr>
        <w:drawing>
          <wp:inline distT="0" distB="0" distL="0" distR="0">
            <wp:extent cx="3132455" cy="2349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140013" cy="2355010"/>
                    </a:xfrm>
                    <a:prstGeom prst="rect">
                      <a:avLst/>
                    </a:prstGeom>
                    <a:noFill/>
                    <a:ln>
                      <a:noFill/>
                    </a:ln>
                  </pic:spPr>
                </pic:pic>
              </a:graphicData>
            </a:graphic>
          </wp:inline>
        </w:drawing>
      </w:r>
    </w:p>
    <w:p w:rsidR="00887D3B" w:rsidRDefault="00AE2E2A">
      <w:pPr>
        <w:pStyle w:val="a3"/>
        <w:rPr>
          <w:b w:val="0"/>
          <w:bCs w:val="0"/>
          <w:lang w:val="en-US"/>
        </w:rPr>
      </w:pPr>
      <w:bookmarkStart w:id="4" w:name="_Ref115037113"/>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rFonts w:hint="eastAsia"/>
          <w:b w:val="0"/>
          <w:bCs w:val="0"/>
          <w:lang w:val="en-US"/>
        </w:rPr>
        <w:t>1</w:t>
      </w:r>
      <w:r>
        <w:rPr>
          <w:rFonts w:hint="eastAsia"/>
          <w:b w:val="0"/>
          <w:bCs w:val="0"/>
          <w:lang w:val="en-US"/>
        </w:rPr>
        <w:fldChar w:fldCharType="end"/>
      </w:r>
      <w:bookmarkEnd w:id="4"/>
      <w:r>
        <w:rPr>
          <w:rFonts w:hint="eastAsia"/>
          <w:b w:val="0"/>
          <w:bCs w:val="0"/>
          <w:lang w:val="en-US"/>
        </w:rPr>
        <w:t xml:space="preserve"> Evaluation of </w:t>
      </w:r>
      <w:r>
        <w:rPr>
          <w:b w:val="0"/>
          <w:bCs w:val="0"/>
          <w:lang w:val="en-US"/>
        </w:rPr>
        <w:t>timing measurement error</w:t>
      </w:r>
    </w:p>
    <w:p w:rsidR="00887D3B" w:rsidRDefault="00AE2E2A">
      <w:pPr>
        <w:spacing w:beforeLines="50" w:before="120" w:after="120" w:line="240" w:lineRule="auto"/>
        <w:ind w:left="420"/>
        <w:rPr>
          <w:rFonts w:ascii="Times New Roman"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2:</w:t>
      </w:r>
      <w:r>
        <w:rPr>
          <w:rFonts w:ascii="Times New Roman" w:hAnsi="Times New Roman" w:cs="Times New Roman"/>
          <w:i/>
          <w:sz w:val="20"/>
          <w:szCs w:val="20"/>
        </w:rPr>
        <w:t xml:space="preserve"> </w:t>
      </w:r>
      <w:r>
        <w:rPr>
          <w:rFonts w:ascii="Times New Roman" w:hAnsi="Times New Roman" w:cs="Times New Roman" w:hint="eastAsia"/>
          <w:i/>
          <w:sz w:val="20"/>
          <w:szCs w:val="20"/>
        </w:rPr>
        <w:t xml:space="preserve">The </w:t>
      </w:r>
      <w:r>
        <w:rPr>
          <w:rFonts w:ascii="Times New Roman" w:hAnsi="Times New Roman" w:cs="Times New Roman"/>
          <w:i/>
          <w:sz w:val="20"/>
          <w:szCs w:val="20"/>
        </w:rPr>
        <w:t>timing measurement error of SRS and PRS can be smaller than 24ns and 6ns respectively with 95% probability under 30 degree elevation angle for LEO-600 set-1, rural LOS S-band scenario.</w:t>
      </w:r>
    </w:p>
    <w:p w:rsidR="00887D3B" w:rsidRDefault="00AE2E2A">
      <w:pPr>
        <w:pStyle w:val="2"/>
        <w:keepNext w:val="0"/>
        <w:keepLines w:val="0"/>
        <w:widowControl w:val="0"/>
        <w:tabs>
          <w:tab w:val="left" w:pos="432"/>
        </w:tabs>
        <w:overflowPunct/>
        <w:snapToGrid w:val="0"/>
        <w:spacing w:beforeLines="50" w:before="120" w:afterLines="50" w:after="120"/>
        <w:ind w:left="431" w:hanging="431"/>
        <w:textAlignment w:val="auto"/>
        <w:rPr>
          <w:rFonts w:eastAsia="黑体" w:cs="Times New Roman"/>
          <w:b/>
          <w:bCs/>
          <w:sz w:val="22"/>
          <w:szCs w:val="20"/>
          <w:lang w:val="en-US"/>
        </w:rPr>
      </w:pPr>
      <w:r>
        <w:rPr>
          <w:rFonts w:eastAsia="黑体" w:cs="Times New Roman"/>
          <w:b/>
          <w:bCs/>
          <w:sz w:val="22"/>
          <w:szCs w:val="20"/>
          <w:lang w:val="en-US"/>
        </w:rPr>
        <w:t>3.2 Single satellite based positioning</w:t>
      </w:r>
      <w:r>
        <w:rPr>
          <w:rFonts w:eastAsia="黑体" w:cs="Times New Roman" w:hint="eastAsia"/>
          <w:b/>
          <w:bCs/>
          <w:sz w:val="22"/>
          <w:szCs w:val="20"/>
          <w:lang w:val="en-US"/>
        </w:rPr>
        <w:t xml:space="preserve"> for earth fixed beam</w:t>
      </w:r>
    </w:p>
    <w:p w:rsidR="00887D3B" w:rsidRDefault="00AE2E2A">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this section, the single satellite based positioning is evaluated </w:t>
      </w:r>
      <w:r w:rsidR="00442B8A">
        <w:rPr>
          <w:rFonts w:ascii="Times New Roman" w:eastAsia="宋体" w:hAnsi="Times New Roman" w:cs="Times New Roman"/>
          <w:sz w:val="20"/>
          <w:szCs w:val="20"/>
        </w:rPr>
        <w:t xml:space="preserve">with earth fixed beam </w:t>
      </w:r>
      <w:r>
        <w:rPr>
          <w:rFonts w:ascii="Times New Roman" w:eastAsia="宋体" w:hAnsi="Times New Roman" w:cs="Times New Roman"/>
          <w:sz w:val="20"/>
          <w:szCs w:val="20"/>
        </w:rPr>
        <w:t xml:space="preserve">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_Ref30917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hint="eastAsia"/>
          <w:sz w:val="20"/>
          <w:szCs w:val="20"/>
        </w:rPr>
        <w:t>Figure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For simplicity of expression, an earth center coordinate is defined, where the earth center is the origin and the orbit of satellite is within the y-z plane. Moreover, the satellite position is assumed to be [0, 0, R+h] at time t0+1.5δ, where R denotes earth radius and h denotes satellite altitude. In this case, the four satellite positions for positioning at time t0, t0+ δ, t0+ 2δ and t0+ 3δ are symmetric. </w:t>
      </w:r>
    </w:p>
    <w:p w:rsidR="00887D3B" w:rsidRDefault="00AE2E2A">
      <w:pPr>
        <w:spacing w:after="120"/>
        <w:ind w:left="420"/>
        <w:jc w:val="center"/>
        <w:rPr>
          <w:rFonts w:ascii="Times New Roman" w:hAnsi="Times New Roman" w:cs="Times New Roman"/>
          <w:b/>
          <w:i/>
          <w:sz w:val="20"/>
          <w:szCs w:val="20"/>
        </w:rPr>
      </w:pPr>
      <w:r>
        <w:rPr>
          <w:noProof/>
        </w:rPr>
        <w:drawing>
          <wp:inline distT="0" distB="0" distL="0" distR="0">
            <wp:extent cx="3035300" cy="26511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038831" cy="2654222"/>
                    </a:xfrm>
                    <a:prstGeom prst="rect">
                      <a:avLst/>
                    </a:prstGeom>
                    <a:noFill/>
                    <a:ln>
                      <a:noFill/>
                    </a:ln>
                  </pic:spPr>
                </pic:pic>
              </a:graphicData>
            </a:graphic>
          </wp:inline>
        </w:drawing>
      </w:r>
    </w:p>
    <w:p w:rsidR="00887D3B" w:rsidRDefault="00AE2E2A">
      <w:pPr>
        <w:pStyle w:val="a3"/>
        <w:rPr>
          <w:b w:val="0"/>
          <w:bCs w:val="0"/>
          <w:lang w:val="en-US"/>
        </w:rPr>
      </w:pPr>
      <w:bookmarkStart w:id="5" w:name="_Ref30917"/>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rFonts w:hint="eastAsia"/>
          <w:b w:val="0"/>
          <w:bCs w:val="0"/>
          <w:lang w:val="en-US"/>
        </w:rPr>
        <w:t>2</w:t>
      </w:r>
      <w:r>
        <w:rPr>
          <w:rFonts w:hint="eastAsia"/>
          <w:b w:val="0"/>
          <w:bCs w:val="0"/>
          <w:lang w:val="en-US"/>
        </w:rPr>
        <w:fldChar w:fldCharType="end"/>
      </w:r>
      <w:bookmarkEnd w:id="5"/>
      <w:r>
        <w:rPr>
          <w:rFonts w:hint="eastAsia"/>
          <w:b w:val="0"/>
          <w:bCs w:val="0"/>
          <w:lang w:val="en-US"/>
        </w:rPr>
        <w:t xml:space="preserve"> </w:t>
      </w:r>
      <w:r>
        <w:rPr>
          <w:b w:val="0"/>
          <w:bCs w:val="0"/>
          <w:lang w:val="en-US"/>
        </w:rPr>
        <w:t>Illustration of positioning by single satellite</w:t>
      </w:r>
    </w:p>
    <w:p w:rsidR="00887D3B" w:rsidRDefault="00AE2E2A">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_Ref115084584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hint="eastAsia"/>
          <w:sz w:val="20"/>
          <w:szCs w:val="20"/>
        </w:rPr>
        <w:t>Figure 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the potential serving areas, i.e., the areas where elevation angle is above 30 degree, of the satellite at time t0, t0+ δ, t0+ 2δ and t0+ 3δ are expressed as red circle, blue circle, green circle, and purple circle, respectively</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Since CDF is considered in performance evaluation for location verification, the UE is assumed randomly located within the potential serving area common to all the satellite positions.</w:t>
      </w:r>
    </w:p>
    <w:p w:rsidR="00887D3B" w:rsidRDefault="00AE2E2A">
      <w:pPr>
        <w:spacing w:after="120"/>
        <w:ind w:left="420"/>
        <w:jc w:val="center"/>
        <w:rPr>
          <w:rFonts w:ascii="Times New Roman" w:hAnsi="Times New Roman" w:cs="Times New Roman"/>
          <w:b/>
          <w:i/>
          <w:sz w:val="20"/>
          <w:szCs w:val="20"/>
        </w:rPr>
      </w:pPr>
      <w:r>
        <w:rPr>
          <w:noProof/>
        </w:rPr>
        <w:lastRenderedPageBreak/>
        <w:drawing>
          <wp:inline distT="0" distB="0" distL="0" distR="0">
            <wp:extent cx="2832735" cy="2111375"/>
            <wp:effectExtent l="0" t="0" r="5715"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41995" cy="2118034"/>
                    </a:xfrm>
                    <a:prstGeom prst="rect">
                      <a:avLst/>
                    </a:prstGeom>
                    <a:noFill/>
                    <a:ln>
                      <a:noFill/>
                    </a:ln>
                  </pic:spPr>
                </pic:pic>
              </a:graphicData>
            </a:graphic>
          </wp:inline>
        </w:drawing>
      </w:r>
    </w:p>
    <w:p w:rsidR="00887D3B" w:rsidRDefault="00AE2E2A">
      <w:pPr>
        <w:pStyle w:val="a3"/>
        <w:rPr>
          <w:b w:val="0"/>
          <w:bCs w:val="0"/>
          <w:lang w:val="en-US"/>
        </w:rPr>
      </w:pPr>
      <w:bookmarkStart w:id="6" w:name="_Ref115084584"/>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rFonts w:hint="eastAsia"/>
          <w:b w:val="0"/>
          <w:bCs w:val="0"/>
          <w:lang w:val="en-US"/>
        </w:rPr>
        <w:t>3</w:t>
      </w:r>
      <w:r>
        <w:rPr>
          <w:rFonts w:hint="eastAsia"/>
          <w:b w:val="0"/>
          <w:bCs w:val="0"/>
          <w:lang w:val="en-US"/>
        </w:rPr>
        <w:fldChar w:fldCharType="end"/>
      </w:r>
      <w:bookmarkEnd w:id="6"/>
      <w:r>
        <w:rPr>
          <w:rFonts w:hint="eastAsia"/>
          <w:b w:val="0"/>
          <w:bCs w:val="0"/>
          <w:lang w:val="en-US"/>
        </w:rPr>
        <w:t xml:space="preserve"> </w:t>
      </w:r>
      <w:r>
        <w:rPr>
          <w:b w:val="0"/>
          <w:bCs w:val="0"/>
          <w:lang w:val="en-US"/>
        </w:rPr>
        <w:t>Illustration of potential serving areas of satellite at different time instants and UE distribution</w:t>
      </w:r>
    </w:p>
    <w:p w:rsidR="00887D3B" w:rsidRDefault="00AE2E2A">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single satellite case, the time based positioning methods, including multi-RTT and UL/DL-TDOA, cannot resolve the ambiguity between symmetric points w.r.t to the satellite orbit plane. Moreover specifically, the points [x,y,z] and [-x,y,z] will lead to same RTT or TDOA measurement result. In FR2, the angle method, e.g., DL-AoA, can be used to resolve this ambiguity issue. While for handheld UE in FR1, UE generally cannot measure the angle due to the antenna configuration so that DL-AoA may not work. However, since the beam size is generally limited, network may able to resolve the ambiguity based on the beam direction. When the beam cannot cover both [x,y,z] and [-x,y,z], the point which is more close to the beam center should be the correct one. If both [x,y,z] and [-x,y,z] are covered, network may randomly choose one of them unless other assistance methods can be applied to resolve the ambiguity. </w:t>
      </w:r>
    </w:p>
    <w:p w:rsidR="00887D3B" w:rsidRDefault="00AE2E2A">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W</w:t>
      </w:r>
      <w:r>
        <w:rPr>
          <w:rFonts w:ascii="Times New Roman" w:eastAsia="宋体" w:hAnsi="Times New Roman" w:cs="Times New Roman"/>
          <w:sz w:val="20"/>
          <w:szCs w:val="20"/>
        </w:rPr>
        <w:t xml:space="preserve">ith the parameters listed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_Ref115032974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Table 10</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and above assumptions, the performance of positioning error is evaluated for multi-RTT, UL-TDOA and DL-TDOA. Note that for timing measurement error, the SNR is assumed </w:t>
      </w:r>
      <w:r>
        <w:rPr>
          <w:rFonts w:ascii="Times New Roman" w:eastAsia="宋体" w:hAnsi="Times New Roman" w:cs="Times New Roman" w:hint="eastAsia"/>
          <w:sz w:val="20"/>
          <w:szCs w:val="20"/>
        </w:rPr>
        <w:t>as</w:t>
      </w:r>
      <w:r>
        <w:rPr>
          <w:rFonts w:ascii="Times New Roman" w:eastAsia="宋体" w:hAnsi="Times New Roman" w:cs="Times New Roman"/>
          <w:sz w:val="20"/>
          <w:szCs w:val="20"/>
        </w:rPr>
        <w:t xml:space="preserve"> the link budget calculated based on real elevation angle instead of that under 30 degree elevation angle. The simulation results without consideration of ambiguity issue in above paragraph are as listed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_Ref115129189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Table 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_Ref115129190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Table 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and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_Ref115129192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Table 3</w:t>
      </w:r>
      <w:r>
        <w:rPr>
          <w:rFonts w:ascii="Times New Roman" w:eastAsia="宋体" w:hAnsi="Times New Roman" w:cs="Times New Roman"/>
          <w:sz w:val="20"/>
          <w:szCs w:val="20"/>
        </w:rPr>
        <w:fldChar w:fldCharType="end"/>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For TDOA method, it can be observed that DL-TDOA can achieve better performance than UL-TDOA due to higher link budget. However, since 3D TDOA method is less robust to the timing measurement error in single satellite case, DL-TDOA method will have worse performance compared with multi-RTT method even if it will have better SNR. The multi-RTT method can satisfy the accuracy requirement with 95% probability if the measurement period is longer than 30s when ambiguity issue is not considered.</w:t>
      </w:r>
    </w:p>
    <w:p w:rsidR="00887D3B" w:rsidRDefault="00AE2E2A">
      <w:pPr>
        <w:pStyle w:val="a3"/>
        <w:numPr>
          <w:ilvl w:val="7"/>
          <w:numId w:val="0"/>
        </w:numPr>
        <w:ind w:leftChars="200" w:left="440"/>
        <w:rPr>
          <w:b w:val="0"/>
          <w:bCs w:val="0"/>
          <w:lang w:val="en-US"/>
        </w:rPr>
      </w:pPr>
      <w:bookmarkStart w:id="7" w:name="_Ref115129189"/>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1</w:t>
      </w:r>
      <w:r>
        <w:rPr>
          <w:b w:val="0"/>
          <w:bCs w:val="0"/>
        </w:rPr>
        <w:fldChar w:fldCharType="end"/>
      </w:r>
      <w:bookmarkEnd w:id="7"/>
      <w:r>
        <w:rPr>
          <w:rFonts w:hint="eastAsia"/>
          <w:b w:val="0"/>
          <w:bCs w:val="0"/>
          <w:lang w:val="en-US"/>
        </w:rPr>
        <w:t xml:space="preserve"> </w:t>
      </w:r>
      <w:r>
        <w:rPr>
          <w:b w:val="0"/>
          <w:bCs w:val="0"/>
          <w:lang w:val="en-US"/>
        </w:rPr>
        <w:t xml:space="preserve">Positioning error performance for multi-RTT </w:t>
      </w:r>
      <w:r>
        <w:rPr>
          <w:rFonts w:hint="eastAsia"/>
          <w:b w:val="0"/>
          <w:bCs w:val="0"/>
          <w:lang w:val="en-US"/>
        </w:rPr>
        <w:t>with</w:t>
      </w:r>
      <w:r>
        <w:rPr>
          <w:b w:val="0"/>
          <w:bCs w:val="0"/>
          <w:lang w:val="en-US"/>
        </w:rPr>
        <w:t>out consideration of ambiguity issue</w:t>
      </w:r>
    </w:p>
    <w:tbl>
      <w:tblPr>
        <w:tblStyle w:val="ac"/>
        <w:tblW w:w="3753" w:type="pct"/>
        <w:jc w:val="center"/>
        <w:tblLayout w:type="fixed"/>
        <w:tblLook w:val="04A0" w:firstRow="1" w:lastRow="0" w:firstColumn="1" w:lastColumn="0" w:noHBand="0" w:noVBand="1"/>
      </w:tblPr>
      <w:tblGrid>
        <w:gridCol w:w="1168"/>
        <w:gridCol w:w="1171"/>
        <w:gridCol w:w="1171"/>
        <w:gridCol w:w="1169"/>
        <w:gridCol w:w="1171"/>
        <w:gridCol w:w="1168"/>
      </w:tblGrid>
      <w:tr w:rsidR="00887D3B">
        <w:trPr>
          <w:jc w:val="center"/>
        </w:trPr>
        <w:tc>
          <w:tcPr>
            <w:tcW w:w="832" w:type="pct"/>
            <w:vAlign w:val="center"/>
          </w:tcPr>
          <w:p w:rsidR="00887D3B" w:rsidRDefault="00887D3B">
            <w:pPr>
              <w:pStyle w:val="aa"/>
              <w:jc w:val="center"/>
              <w:rPr>
                <w:sz w:val="20"/>
                <w:szCs w:val="20"/>
              </w:rPr>
            </w:pP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CDF=50%</w:t>
            </w: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CDF=67%</w:t>
            </w:r>
          </w:p>
        </w:tc>
        <w:tc>
          <w:tcPr>
            <w:tcW w:w="833"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CDF=80%</w:t>
            </w: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CDF=90%</w:t>
            </w:r>
          </w:p>
        </w:tc>
        <w:tc>
          <w:tcPr>
            <w:tcW w:w="832" w:type="pct"/>
          </w:tcPr>
          <w:p w:rsidR="00887D3B" w:rsidRDefault="00AE2E2A">
            <w:pPr>
              <w:pStyle w:val="aa"/>
              <w:jc w:val="center"/>
              <w:rPr>
                <w:rFonts w:ascii="Times New Roman" w:hAnsi="Times New Roman"/>
                <w:sz w:val="20"/>
                <w:szCs w:val="20"/>
              </w:rPr>
            </w:pPr>
            <w:r>
              <w:rPr>
                <w:rFonts w:ascii="Times New Roman" w:hAnsi="Times New Roman"/>
                <w:sz w:val="20"/>
                <w:szCs w:val="20"/>
              </w:rPr>
              <w:t>CDF=95%</w:t>
            </w:r>
          </w:p>
        </w:tc>
      </w:tr>
      <w:tr w:rsidR="00887D3B">
        <w:trPr>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δ=5</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6.86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12.11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20.63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37.63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71.43 km</w:t>
            </w:r>
          </w:p>
        </w:tc>
      </w:tr>
      <w:tr w:rsidR="00887D3B">
        <w:trPr>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δ=10</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1.75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3.08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6.01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13.43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28.98 km</w:t>
            </w:r>
          </w:p>
        </w:tc>
      </w:tr>
      <w:tr w:rsidR="00887D3B">
        <w:trPr>
          <w:trHeight w:val="90"/>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δ=30</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0.22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4.06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0.87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2.73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7.28 km</w:t>
            </w:r>
          </w:p>
        </w:tc>
      </w:tr>
      <w:tr w:rsidR="00887D3B">
        <w:trPr>
          <w:trHeight w:val="90"/>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δ=60</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0.10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0.22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0.5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1.64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4.42 km</w:t>
            </w:r>
          </w:p>
        </w:tc>
      </w:tr>
    </w:tbl>
    <w:p w:rsidR="00887D3B" w:rsidRDefault="00AE2E2A">
      <w:pPr>
        <w:pStyle w:val="a3"/>
        <w:numPr>
          <w:ilvl w:val="7"/>
          <w:numId w:val="0"/>
        </w:numPr>
        <w:ind w:leftChars="200" w:left="440"/>
        <w:rPr>
          <w:b w:val="0"/>
          <w:bCs w:val="0"/>
          <w:lang w:val="en-US"/>
        </w:rPr>
      </w:pPr>
      <w:bookmarkStart w:id="8" w:name="_Ref115129190"/>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2</w:t>
      </w:r>
      <w:r>
        <w:rPr>
          <w:b w:val="0"/>
          <w:bCs w:val="0"/>
        </w:rPr>
        <w:fldChar w:fldCharType="end"/>
      </w:r>
      <w:bookmarkEnd w:id="8"/>
      <w:r>
        <w:rPr>
          <w:rFonts w:hint="eastAsia"/>
          <w:b w:val="0"/>
          <w:bCs w:val="0"/>
          <w:lang w:val="en-US"/>
        </w:rPr>
        <w:t xml:space="preserve"> </w:t>
      </w:r>
      <w:r>
        <w:rPr>
          <w:b w:val="0"/>
          <w:bCs w:val="0"/>
          <w:lang w:val="en-US"/>
        </w:rPr>
        <w:t xml:space="preserve">Positioning error performance for UL-TDOA </w:t>
      </w:r>
      <w:r>
        <w:rPr>
          <w:rFonts w:hint="eastAsia"/>
          <w:b w:val="0"/>
          <w:bCs w:val="0"/>
          <w:lang w:val="en-US"/>
        </w:rPr>
        <w:t>with</w:t>
      </w:r>
      <w:r>
        <w:rPr>
          <w:b w:val="0"/>
          <w:bCs w:val="0"/>
          <w:lang w:val="en-US"/>
        </w:rPr>
        <w:t>out consideration of ambiguity issue</w:t>
      </w:r>
    </w:p>
    <w:tbl>
      <w:tblPr>
        <w:tblStyle w:val="ac"/>
        <w:tblW w:w="3753" w:type="pct"/>
        <w:jc w:val="center"/>
        <w:tblLayout w:type="fixed"/>
        <w:tblLook w:val="04A0" w:firstRow="1" w:lastRow="0" w:firstColumn="1" w:lastColumn="0" w:noHBand="0" w:noVBand="1"/>
      </w:tblPr>
      <w:tblGrid>
        <w:gridCol w:w="1168"/>
        <w:gridCol w:w="1171"/>
        <w:gridCol w:w="1171"/>
        <w:gridCol w:w="1169"/>
        <w:gridCol w:w="1171"/>
        <w:gridCol w:w="1168"/>
      </w:tblGrid>
      <w:tr w:rsidR="00887D3B">
        <w:trPr>
          <w:jc w:val="center"/>
        </w:trPr>
        <w:tc>
          <w:tcPr>
            <w:tcW w:w="832" w:type="pct"/>
            <w:vAlign w:val="center"/>
          </w:tcPr>
          <w:p w:rsidR="00887D3B" w:rsidRDefault="00887D3B">
            <w:pPr>
              <w:pStyle w:val="aa"/>
              <w:jc w:val="center"/>
              <w:rPr>
                <w:sz w:val="20"/>
                <w:szCs w:val="20"/>
              </w:rPr>
            </w:pP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CDF=50%</w:t>
            </w: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CDF=67%</w:t>
            </w:r>
          </w:p>
        </w:tc>
        <w:tc>
          <w:tcPr>
            <w:tcW w:w="833"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CDF=80%</w:t>
            </w: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CDF=90%</w:t>
            </w:r>
          </w:p>
        </w:tc>
        <w:tc>
          <w:tcPr>
            <w:tcW w:w="832" w:type="pct"/>
          </w:tcPr>
          <w:p w:rsidR="00887D3B" w:rsidRDefault="00AE2E2A">
            <w:pPr>
              <w:pStyle w:val="aa"/>
              <w:jc w:val="center"/>
              <w:rPr>
                <w:rFonts w:ascii="Times New Roman" w:hAnsi="Times New Roman"/>
                <w:sz w:val="20"/>
                <w:szCs w:val="20"/>
              </w:rPr>
            </w:pPr>
            <w:r>
              <w:rPr>
                <w:rFonts w:ascii="Times New Roman" w:hAnsi="Times New Roman"/>
                <w:sz w:val="20"/>
                <w:szCs w:val="20"/>
              </w:rPr>
              <w:t>CDF=95%</w:t>
            </w:r>
          </w:p>
        </w:tc>
      </w:tr>
      <w:tr w:rsidR="00887D3B">
        <w:trPr>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δ=5</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303.25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436.97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618.52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w:t>
            </w:r>
          </w:p>
        </w:tc>
      </w:tr>
      <w:tr w:rsidR="00887D3B">
        <w:trPr>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δ=10</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98.90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158.01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237.50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399.69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681.97 km</w:t>
            </w:r>
          </w:p>
        </w:tc>
      </w:tr>
      <w:tr w:rsidR="00887D3B">
        <w:trPr>
          <w:trHeight w:val="90"/>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δ=30</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8.69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16.91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32.60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75.97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170.12 km</w:t>
            </w:r>
          </w:p>
        </w:tc>
      </w:tr>
      <w:tr w:rsidR="00887D3B">
        <w:trPr>
          <w:trHeight w:val="90"/>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δ=60</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4.04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8.69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17.98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43.46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95.36 km</w:t>
            </w:r>
          </w:p>
        </w:tc>
      </w:tr>
    </w:tbl>
    <w:p w:rsidR="00887D3B" w:rsidRDefault="00AE2E2A">
      <w:pPr>
        <w:pStyle w:val="a3"/>
        <w:numPr>
          <w:ilvl w:val="7"/>
          <w:numId w:val="0"/>
        </w:numPr>
        <w:ind w:leftChars="200" w:left="440"/>
        <w:rPr>
          <w:b w:val="0"/>
          <w:bCs w:val="0"/>
          <w:lang w:val="en-US"/>
        </w:rPr>
      </w:pPr>
      <w:bookmarkStart w:id="9" w:name="_Ref115129192"/>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3</w:t>
      </w:r>
      <w:r>
        <w:rPr>
          <w:b w:val="0"/>
          <w:bCs w:val="0"/>
        </w:rPr>
        <w:fldChar w:fldCharType="end"/>
      </w:r>
      <w:bookmarkEnd w:id="9"/>
      <w:r>
        <w:rPr>
          <w:rFonts w:hint="eastAsia"/>
          <w:b w:val="0"/>
          <w:bCs w:val="0"/>
          <w:lang w:val="en-US"/>
        </w:rPr>
        <w:t xml:space="preserve"> </w:t>
      </w:r>
      <w:r>
        <w:rPr>
          <w:b w:val="0"/>
          <w:bCs w:val="0"/>
          <w:lang w:val="en-US"/>
        </w:rPr>
        <w:t xml:space="preserve">Positioning error performance for DL-TDOA </w:t>
      </w:r>
      <w:r>
        <w:rPr>
          <w:rFonts w:hint="eastAsia"/>
          <w:b w:val="0"/>
          <w:bCs w:val="0"/>
          <w:lang w:val="en-US"/>
        </w:rPr>
        <w:t>with</w:t>
      </w:r>
      <w:r>
        <w:rPr>
          <w:b w:val="0"/>
          <w:bCs w:val="0"/>
          <w:lang w:val="en-US"/>
        </w:rPr>
        <w:t>out consideration of ambiguity issue</w:t>
      </w:r>
    </w:p>
    <w:tbl>
      <w:tblPr>
        <w:tblStyle w:val="ac"/>
        <w:tblW w:w="3753" w:type="pct"/>
        <w:jc w:val="center"/>
        <w:tblLayout w:type="fixed"/>
        <w:tblLook w:val="04A0" w:firstRow="1" w:lastRow="0" w:firstColumn="1" w:lastColumn="0" w:noHBand="0" w:noVBand="1"/>
      </w:tblPr>
      <w:tblGrid>
        <w:gridCol w:w="1168"/>
        <w:gridCol w:w="1171"/>
        <w:gridCol w:w="1171"/>
        <w:gridCol w:w="1169"/>
        <w:gridCol w:w="1171"/>
        <w:gridCol w:w="1168"/>
      </w:tblGrid>
      <w:tr w:rsidR="00887D3B">
        <w:trPr>
          <w:jc w:val="center"/>
        </w:trPr>
        <w:tc>
          <w:tcPr>
            <w:tcW w:w="832" w:type="pct"/>
            <w:vAlign w:val="center"/>
          </w:tcPr>
          <w:p w:rsidR="00887D3B" w:rsidRDefault="00887D3B">
            <w:pPr>
              <w:pStyle w:val="aa"/>
              <w:jc w:val="center"/>
              <w:rPr>
                <w:sz w:val="20"/>
                <w:szCs w:val="20"/>
              </w:rPr>
            </w:pP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CDF=50%</w:t>
            </w: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CDF=67%</w:t>
            </w:r>
          </w:p>
        </w:tc>
        <w:tc>
          <w:tcPr>
            <w:tcW w:w="833"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CDF=80%</w:t>
            </w: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CDF=90%</w:t>
            </w:r>
          </w:p>
        </w:tc>
        <w:tc>
          <w:tcPr>
            <w:tcW w:w="832" w:type="pct"/>
          </w:tcPr>
          <w:p w:rsidR="00887D3B" w:rsidRDefault="00AE2E2A">
            <w:pPr>
              <w:pStyle w:val="aa"/>
              <w:jc w:val="center"/>
              <w:rPr>
                <w:rFonts w:ascii="Times New Roman" w:hAnsi="Times New Roman"/>
                <w:sz w:val="20"/>
                <w:szCs w:val="20"/>
              </w:rPr>
            </w:pPr>
            <w:r>
              <w:rPr>
                <w:rFonts w:ascii="Times New Roman" w:hAnsi="Times New Roman"/>
                <w:sz w:val="20"/>
                <w:szCs w:val="20"/>
              </w:rPr>
              <w:t>CDF=95%</w:t>
            </w:r>
          </w:p>
        </w:tc>
      </w:tr>
      <w:tr w:rsidR="00887D3B">
        <w:trPr>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lastRenderedPageBreak/>
              <w:t>δ=5</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186.54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271.96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389.67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544.66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w:t>
            </w:r>
          </w:p>
        </w:tc>
      </w:tr>
      <w:tr w:rsidR="00887D3B">
        <w:trPr>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δ=10</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44.85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73.59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115.13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194.79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316.52 km</w:t>
            </w:r>
          </w:p>
        </w:tc>
      </w:tr>
      <w:tr w:rsidR="00887D3B">
        <w:trPr>
          <w:trHeight w:val="90"/>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δ=30</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3.39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6.73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13.09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28.29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54.89 km</w:t>
            </w:r>
          </w:p>
        </w:tc>
      </w:tr>
      <w:tr w:rsidR="00887D3B">
        <w:trPr>
          <w:trHeight w:val="90"/>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δ=60</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1.52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3.34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7.06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15.31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29.93 km</w:t>
            </w:r>
          </w:p>
        </w:tc>
      </w:tr>
    </w:tbl>
    <w:p w:rsidR="00887D3B" w:rsidRDefault="00AE2E2A" w:rsidP="00C95310">
      <w:pPr>
        <w:numPr>
          <w:ilvl w:val="7"/>
          <w:numId w:val="0"/>
        </w:numPr>
        <w:spacing w:beforeLines="50" w:before="120" w:after="0" w:line="24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The performance evaluation results with consideration of ambiguity issue are listed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_Ref14375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Table 4</w:t>
      </w:r>
      <w:r>
        <w:rPr>
          <w:rFonts w:ascii="Times New Roman" w:eastAsia="宋体" w:hAnsi="Times New Roman" w:cs="Times New Roman"/>
          <w:sz w:val="20"/>
          <w:szCs w:val="20"/>
        </w:rPr>
        <w:fldChar w:fldCharType="end"/>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_Ref115105088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Table 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and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_Ref115105093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Table 6</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For beam size, 50km beam diameter is assumed for nadir beam, which is defined for LEO-600 set-1 in TR 38.821. The satellite beam angle is thought fixed and derived from 50km diameter nadir beam. </w:t>
      </w: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order to simplify the evaluation, </w:t>
      </w:r>
      <w:r>
        <w:rPr>
          <w:rFonts w:ascii="Times New Roman" w:eastAsia="宋体" w:hAnsi="Times New Roman" w:cs="Times New Roman" w:hint="eastAsia"/>
          <w:sz w:val="20"/>
          <w:szCs w:val="20"/>
        </w:rPr>
        <w:t>if</w:t>
      </w:r>
      <w:r>
        <w:rPr>
          <w:rFonts w:ascii="Times New Roman" w:eastAsia="宋体" w:hAnsi="Times New Roman" w:cs="Times New Roman"/>
          <w:sz w:val="20"/>
          <w:szCs w:val="20"/>
        </w:rPr>
        <w:t xml:space="preserve"> a UE has coordinate [x,y,z] and the line between [x,y,z] and [-x,y,z] corresponds to a satellite angle smaller than the satellite beam angle, the ambiguity issue is thought to happen and network will randomly choose one candidate value. In such case, the performance of worst case is evaluated since some of these UEs may be covered by beams that not intersect the orbit plane, where the ambiguity issue can be resolved based on the satellite beam direction. Similar to the results without consideration of ambiguity, the multi-RTT method has best performance, then followed by DL-TDOA, and UL-TDOA has worst performance. However, due to the ambiguity issue, the performance at high CDF is significantly degraded. It is worth noting that for multi-RTT method, when the time interval between measurements is increased from 30s to 60s, the positioning error performance decreases for high CDF cases. The reason behind is that, with lower elevation angle, the beam size will be larger if the satellite beam angle is fixed. In this case, the ambiguity issue illustrated previously will be more significant. As a result, even if the positioning accuracy could be improved with larger interval between measurements, the overall CDF performance may decrease due to high probability of ambiguity issue.</w:t>
      </w:r>
    </w:p>
    <w:p w:rsidR="00887D3B" w:rsidRDefault="00AE2E2A" w:rsidP="00C95310">
      <w:pPr>
        <w:pStyle w:val="a3"/>
        <w:numPr>
          <w:ilvl w:val="7"/>
          <w:numId w:val="0"/>
        </w:numPr>
        <w:spacing w:beforeLines="50" w:before="120"/>
        <w:ind w:leftChars="200" w:left="440"/>
        <w:rPr>
          <w:b w:val="0"/>
          <w:bCs w:val="0"/>
          <w:lang w:val="en-US"/>
        </w:rPr>
      </w:pPr>
      <w:bookmarkStart w:id="10" w:name="_Ref14375"/>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4</w:t>
      </w:r>
      <w:r>
        <w:rPr>
          <w:b w:val="0"/>
          <w:bCs w:val="0"/>
        </w:rPr>
        <w:fldChar w:fldCharType="end"/>
      </w:r>
      <w:bookmarkEnd w:id="10"/>
      <w:r>
        <w:rPr>
          <w:rFonts w:hint="eastAsia"/>
          <w:b w:val="0"/>
          <w:bCs w:val="0"/>
          <w:lang w:val="en-US"/>
        </w:rPr>
        <w:t xml:space="preserve"> </w:t>
      </w:r>
      <w:r>
        <w:rPr>
          <w:b w:val="0"/>
          <w:bCs w:val="0"/>
          <w:lang w:val="en-US"/>
        </w:rPr>
        <w:t>Positioning error performance for multi-RTT with consideration of ambiguity issue</w:t>
      </w:r>
    </w:p>
    <w:tbl>
      <w:tblPr>
        <w:tblStyle w:val="ac"/>
        <w:tblW w:w="3753" w:type="pct"/>
        <w:jc w:val="center"/>
        <w:tblLayout w:type="fixed"/>
        <w:tblLook w:val="04A0" w:firstRow="1" w:lastRow="0" w:firstColumn="1" w:lastColumn="0" w:noHBand="0" w:noVBand="1"/>
      </w:tblPr>
      <w:tblGrid>
        <w:gridCol w:w="1168"/>
        <w:gridCol w:w="1171"/>
        <w:gridCol w:w="1171"/>
        <w:gridCol w:w="1169"/>
        <w:gridCol w:w="1171"/>
        <w:gridCol w:w="1168"/>
      </w:tblGrid>
      <w:tr w:rsidR="00887D3B">
        <w:trPr>
          <w:jc w:val="center"/>
        </w:trPr>
        <w:tc>
          <w:tcPr>
            <w:tcW w:w="832" w:type="pct"/>
            <w:vAlign w:val="center"/>
          </w:tcPr>
          <w:p w:rsidR="00887D3B" w:rsidRDefault="00887D3B">
            <w:pPr>
              <w:pStyle w:val="aa"/>
              <w:jc w:val="center"/>
              <w:rPr>
                <w:sz w:val="20"/>
                <w:szCs w:val="20"/>
              </w:rPr>
            </w:pP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CDF=50%</w:t>
            </w: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CDF=67%</w:t>
            </w:r>
          </w:p>
        </w:tc>
        <w:tc>
          <w:tcPr>
            <w:tcW w:w="833"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CDF=80%</w:t>
            </w: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CDF=90%</w:t>
            </w:r>
          </w:p>
        </w:tc>
        <w:tc>
          <w:tcPr>
            <w:tcW w:w="832" w:type="pct"/>
          </w:tcPr>
          <w:p w:rsidR="00887D3B" w:rsidRDefault="00AE2E2A">
            <w:pPr>
              <w:pStyle w:val="aa"/>
              <w:jc w:val="center"/>
              <w:rPr>
                <w:rFonts w:ascii="Times New Roman" w:hAnsi="Times New Roman"/>
                <w:sz w:val="20"/>
                <w:szCs w:val="20"/>
              </w:rPr>
            </w:pPr>
            <w:r>
              <w:rPr>
                <w:rFonts w:ascii="Times New Roman" w:hAnsi="Times New Roman"/>
                <w:sz w:val="20"/>
                <w:szCs w:val="20"/>
              </w:rPr>
              <w:t>CDF=95%</w:t>
            </w:r>
          </w:p>
        </w:tc>
      </w:tr>
      <w:tr w:rsidR="00887D3B">
        <w:trPr>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δ=5</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6.86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12.11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21.39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39.59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80.16 km</w:t>
            </w:r>
          </w:p>
        </w:tc>
      </w:tr>
      <w:tr w:rsidR="00887D3B">
        <w:trPr>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δ=10</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1.75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3.10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6.45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17.59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41.48 km</w:t>
            </w:r>
          </w:p>
        </w:tc>
      </w:tr>
      <w:tr w:rsidR="00887D3B">
        <w:trPr>
          <w:trHeight w:val="90"/>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δ=30</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0.22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0.42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0.98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7.91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31.30 km</w:t>
            </w:r>
          </w:p>
        </w:tc>
      </w:tr>
      <w:tr w:rsidR="00887D3B">
        <w:trPr>
          <w:trHeight w:val="90"/>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δ=60</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0.11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0.27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1.73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20.89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45.45 km</w:t>
            </w:r>
          </w:p>
        </w:tc>
      </w:tr>
    </w:tbl>
    <w:p w:rsidR="00887D3B" w:rsidRDefault="00AE2E2A" w:rsidP="00C95310">
      <w:pPr>
        <w:pStyle w:val="a3"/>
        <w:numPr>
          <w:ilvl w:val="7"/>
          <w:numId w:val="0"/>
        </w:numPr>
        <w:spacing w:beforeLines="50" w:before="120"/>
        <w:ind w:leftChars="200" w:left="440"/>
        <w:rPr>
          <w:b w:val="0"/>
          <w:bCs w:val="0"/>
          <w:lang w:val="en-US"/>
        </w:rPr>
      </w:pPr>
      <w:bookmarkStart w:id="11" w:name="_Ref115105088"/>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5</w:t>
      </w:r>
      <w:r>
        <w:rPr>
          <w:b w:val="0"/>
          <w:bCs w:val="0"/>
        </w:rPr>
        <w:fldChar w:fldCharType="end"/>
      </w:r>
      <w:bookmarkEnd w:id="11"/>
      <w:r>
        <w:rPr>
          <w:rFonts w:hint="eastAsia"/>
          <w:b w:val="0"/>
          <w:bCs w:val="0"/>
          <w:lang w:val="en-US"/>
        </w:rPr>
        <w:t xml:space="preserve"> </w:t>
      </w:r>
      <w:r>
        <w:rPr>
          <w:b w:val="0"/>
          <w:bCs w:val="0"/>
          <w:lang w:val="en-US"/>
        </w:rPr>
        <w:t>Positioning error performance for UL-TDOA with consideration of ambiguity issue</w:t>
      </w:r>
    </w:p>
    <w:tbl>
      <w:tblPr>
        <w:tblStyle w:val="ac"/>
        <w:tblW w:w="3753" w:type="pct"/>
        <w:jc w:val="center"/>
        <w:tblLayout w:type="fixed"/>
        <w:tblLook w:val="04A0" w:firstRow="1" w:lastRow="0" w:firstColumn="1" w:lastColumn="0" w:noHBand="0" w:noVBand="1"/>
      </w:tblPr>
      <w:tblGrid>
        <w:gridCol w:w="1168"/>
        <w:gridCol w:w="1171"/>
        <w:gridCol w:w="1171"/>
        <w:gridCol w:w="1169"/>
        <w:gridCol w:w="1171"/>
        <w:gridCol w:w="1168"/>
      </w:tblGrid>
      <w:tr w:rsidR="00887D3B">
        <w:trPr>
          <w:jc w:val="center"/>
        </w:trPr>
        <w:tc>
          <w:tcPr>
            <w:tcW w:w="832" w:type="pct"/>
            <w:vAlign w:val="center"/>
          </w:tcPr>
          <w:p w:rsidR="00887D3B" w:rsidRDefault="00887D3B">
            <w:pPr>
              <w:pStyle w:val="aa"/>
              <w:jc w:val="center"/>
              <w:rPr>
                <w:sz w:val="20"/>
                <w:szCs w:val="20"/>
              </w:rPr>
            </w:pP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CDF=50%</w:t>
            </w: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CDF=67%</w:t>
            </w:r>
          </w:p>
        </w:tc>
        <w:tc>
          <w:tcPr>
            <w:tcW w:w="833"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CDF=80%</w:t>
            </w: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CDF=90%</w:t>
            </w:r>
          </w:p>
        </w:tc>
        <w:tc>
          <w:tcPr>
            <w:tcW w:w="832" w:type="pct"/>
          </w:tcPr>
          <w:p w:rsidR="00887D3B" w:rsidRDefault="00AE2E2A">
            <w:pPr>
              <w:pStyle w:val="aa"/>
              <w:jc w:val="center"/>
              <w:rPr>
                <w:rFonts w:ascii="Times New Roman" w:hAnsi="Times New Roman"/>
                <w:sz w:val="20"/>
                <w:szCs w:val="20"/>
              </w:rPr>
            </w:pPr>
            <w:r>
              <w:rPr>
                <w:rFonts w:ascii="Times New Roman" w:hAnsi="Times New Roman"/>
                <w:sz w:val="20"/>
                <w:szCs w:val="20"/>
              </w:rPr>
              <w:t>CDF=95%</w:t>
            </w:r>
          </w:p>
        </w:tc>
      </w:tr>
      <w:tr w:rsidR="00887D3B">
        <w:trPr>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δ=5</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304.65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437.95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625.89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w:t>
            </w:r>
          </w:p>
        </w:tc>
      </w:tr>
      <w:tr w:rsidR="00887D3B">
        <w:trPr>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δ=10</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99.89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160.18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245.56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409.47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664.59 km</w:t>
            </w:r>
          </w:p>
        </w:tc>
      </w:tr>
      <w:tr w:rsidR="00887D3B">
        <w:trPr>
          <w:trHeight w:val="90"/>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δ=30</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8.92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18.20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36.21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77.07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149.25 km</w:t>
            </w:r>
          </w:p>
        </w:tc>
      </w:tr>
      <w:tr w:rsidR="00887D3B">
        <w:trPr>
          <w:trHeight w:val="90"/>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δ=60</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4.48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10.98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26.41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57.21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96.12 km</w:t>
            </w:r>
          </w:p>
        </w:tc>
      </w:tr>
    </w:tbl>
    <w:p w:rsidR="00887D3B" w:rsidRDefault="00AE2E2A" w:rsidP="00C95310">
      <w:pPr>
        <w:pStyle w:val="a3"/>
        <w:numPr>
          <w:ilvl w:val="7"/>
          <w:numId w:val="0"/>
        </w:numPr>
        <w:spacing w:beforeLines="50" w:before="120"/>
        <w:ind w:leftChars="200" w:left="440"/>
        <w:rPr>
          <w:b w:val="0"/>
          <w:bCs w:val="0"/>
          <w:lang w:val="en-US"/>
        </w:rPr>
      </w:pPr>
      <w:bookmarkStart w:id="12" w:name="_Ref115105093"/>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6</w:t>
      </w:r>
      <w:r>
        <w:rPr>
          <w:b w:val="0"/>
          <w:bCs w:val="0"/>
        </w:rPr>
        <w:fldChar w:fldCharType="end"/>
      </w:r>
      <w:bookmarkEnd w:id="12"/>
      <w:r>
        <w:rPr>
          <w:rFonts w:hint="eastAsia"/>
          <w:b w:val="0"/>
          <w:bCs w:val="0"/>
          <w:lang w:val="en-US"/>
        </w:rPr>
        <w:t xml:space="preserve"> </w:t>
      </w:r>
      <w:r>
        <w:rPr>
          <w:b w:val="0"/>
          <w:bCs w:val="0"/>
          <w:lang w:val="en-US"/>
        </w:rPr>
        <w:t>Positioning error performance for DL-TDOA with consideration of ambiguity issue</w:t>
      </w:r>
    </w:p>
    <w:tbl>
      <w:tblPr>
        <w:tblStyle w:val="ac"/>
        <w:tblW w:w="3753" w:type="pct"/>
        <w:jc w:val="center"/>
        <w:tblLayout w:type="fixed"/>
        <w:tblLook w:val="04A0" w:firstRow="1" w:lastRow="0" w:firstColumn="1" w:lastColumn="0" w:noHBand="0" w:noVBand="1"/>
      </w:tblPr>
      <w:tblGrid>
        <w:gridCol w:w="1168"/>
        <w:gridCol w:w="1171"/>
        <w:gridCol w:w="1171"/>
        <w:gridCol w:w="1169"/>
        <w:gridCol w:w="1171"/>
        <w:gridCol w:w="1168"/>
      </w:tblGrid>
      <w:tr w:rsidR="00887D3B">
        <w:trPr>
          <w:jc w:val="center"/>
        </w:trPr>
        <w:tc>
          <w:tcPr>
            <w:tcW w:w="832" w:type="pct"/>
            <w:vAlign w:val="center"/>
          </w:tcPr>
          <w:p w:rsidR="00887D3B" w:rsidRDefault="00887D3B">
            <w:pPr>
              <w:pStyle w:val="aa"/>
              <w:jc w:val="center"/>
              <w:rPr>
                <w:sz w:val="20"/>
                <w:szCs w:val="20"/>
              </w:rPr>
            </w:pP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CDF=50%</w:t>
            </w: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CDF=67%</w:t>
            </w:r>
          </w:p>
        </w:tc>
        <w:tc>
          <w:tcPr>
            <w:tcW w:w="833"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CDF=80%</w:t>
            </w: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CDF=90%</w:t>
            </w:r>
          </w:p>
        </w:tc>
        <w:tc>
          <w:tcPr>
            <w:tcW w:w="832" w:type="pct"/>
          </w:tcPr>
          <w:p w:rsidR="00887D3B" w:rsidRDefault="00AE2E2A">
            <w:pPr>
              <w:pStyle w:val="aa"/>
              <w:jc w:val="center"/>
              <w:rPr>
                <w:rFonts w:ascii="Times New Roman" w:hAnsi="Times New Roman"/>
                <w:sz w:val="20"/>
                <w:szCs w:val="20"/>
              </w:rPr>
            </w:pPr>
            <w:r>
              <w:rPr>
                <w:rFonts w:ascii="Times New Roman" w:hAnsi="Times New Roman"/>
                <w:sz w:val="20"/>
                <w:szCs w:val="20"/>
              </w:rPr>
              <w:t>CDF=95%</w:t>
            </w:r>
          </w:p>
        </w:tc>
      </w:tr>
      <w:tr w:rsidR="00887D3B">
        <w:trPr>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δ=5</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188.12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274.51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389.37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548.51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w:t>
            </w:r>
          </w:p>
        </w:tc>
      </w:tr>
      <w:tr w:rsidR="00887D3B">
        <w:trPr>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δ=10</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46.39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75.85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119.62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205.84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321.59 km</w:t>
            </w:r>
          </w:p>
        </w:tc>
      </w:tr>
      <w:tr w:rsidR="00887D3B">
        <w:trPr>
          <w:trHeight w:val="90"/>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δ=30</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3.39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7.14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15.17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34.07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58.34 km</w:t>
            </w:r>
          </w:p>
        </w:tc>
      </w:tr>
      <w:tr w:rsidR="00887D3B">
        <w:trPr>
          <w:trHeight w:val="90"/>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δ=60</w:t>
            </w:r>
            <w:r>
              <w:rPr>
                <w:rFonts w:ascii="Times New Roman" w:eastAsia="宋体" w:hAnsi="Times New Roman" w:hint="eastAsia"/>
                <w:sz w:val="20"/>
                <w:szCs w:val="20"/>
              </w:rPr>
              <w:t>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1.65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4.41 km</w:t>
            </w:r>
          </w:p>
        </w:tc>
        <w:tc>
          <w:tcPr>
            <w:tcW w:w="833"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11.89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33.71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56.98 km</w:t>
            </w:r>
          </w:p>
        </w:tc>
      </w:tr>
    </w:tbl>
    <w:p w:rsidR="00887D3B" w:rsidRDefault="00AE2E2A">
      <w:pPr>
        <w:spacing w:beforeLines="50" w:before="120" w:after="120" w:line="240" w:lineRule="auto"/>
        <w:ind w:left="420"/>
        <w:rPr>
          <w:rFonts w:ascii="Times New Roman"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3:</w:t>
      </w:r>
      <w:r>
        <w:rPr>
          <w:rFonts w:ascii="Times New Roman" w:hAnsi="Times New Roman" w:cs="Times New Roman"/>
          <w:i/>
          <w:sz w:val="20"/>
          <w:szCs w:val="20"/>
        </w:rPr>
        <w:t xml:space="preserve"> Multi-RTT has better performance than UL/DL-TDOA method.</w:t>
      </w:r>
    </w:p>
    <w:p w:rsidR="00887D3B" w:rsidRDefault="00AE2E2A">
      <w:pPr>
        <w:spacing w:after="120"/>
        <w:ind w:left="420"/>
        <w:rPr>
          <w:rFonts w:ascii="Times New Roman" w:hAnsi="Times New Roman" w:cs="Times New Roman"/>
          <w:i/>
          <w:sz w:val="20"/>
          <w:szCs w:val="20"/>
        </w:rPr>
      </w:pPr>
      <w:r>
        <w:rPr>
          <w:rFonts w:ascii="Times New Roman" w:hAnsi="Times New Roman" w:cs="Times New Roman"/>
          <w:b/>
          <w:i/>
          <w:sz w:val="20"/>
          <w:szCs w:val="20"/>
        </w:rPr>
        <w:t xml:space="preserve">Observation 4: </w:t>
      </w:r>
      <w:r>
        <w:rPr>
          <w:rFonts w:ascii="Times New Roman" w:hAnsi="Times New Roman" w:cs="Times New Roman"/>
          <w:bCs/>
          <w:i/>
          <w:sz w:val="20"/>
          <w:szCs w:val="20"/>
        </w:rPr>
        <w:t>When the ambiguity of single satellite positioning is not considered or can be resolved by other methods, and the measurement period is equal to or larger than 30s, the positioning error of multi-RTT method can be smaller than 10km with over 95% probability for LEO-600 set-1, rural LOS, S-band scenario</w:t>
      </w:r>
      <w:r>
        <w:rPr>
          <w:rFonts w:ascii="Times New Roman" w:hAnsi="Times New Roman" w:cs="Times New Roman" w:hint="eastAsia"/>
          <w:bCs/>
          <w:i/>
          <w:sz w:val="20"/>
          <w:szCs w:val="20"/>
        </w:rPr>
        <w:t>, earth fixed beam.</w:t>
      </w:r>
    </w:p>
    <w:p w:rsidR="00887D3B" w:rsidRDefault="00AE2E2A">
      <w:pPr>
        <w:spacing w:after="120"/>
        <w:ind w:left="420"/>
        <w:rPr>
          <w:rFonts w:ascii="Times New Roman" w:hAnsi="Times New Roman" w:cs="Times New Roman"/>
          <w:i/>
          <w:sz w:val="20"/>
          <w:szCs w:val="20"/>
        </w:rPr>
      </w:pPr>
      <w:r>
        <w:rPr>
          <w:rFonts w:ascii="Times New Roman" w:hAnsi="Times New Roman" w:cs="Times New Roman"/>
          <w:b/>
          <w:i/>
          <w:sz w:val="20"/>
          <w:szCs w:val="20"/>
        </w:rPr>
        <w:t xml:space="preserve">Observation 5: </w:t>
      </w:r>
      <w:r>
        <w:rPr>
          <w:rFonts w:ascii="Times New Roman" w:hAnsi="Times New Roman" w:cs="Times New Roman"/>
          <w:bCs/>
          <w:i/>
          <w:sz w:val="20"/>
          <w:szCs w:val="20"/>
        </w:rPr>
        <w:t>When the ambiguity of single satellite positioning is not considered, and the measurement period is equal to 30s, the positioning error of multi-RTT method can be smaller than 10km with over 90% probability for LEO-600 set-1, rural LOS, S-band scenario</w:t>
      </w:r>
      <w:r>
        <w:rPr>
          <w:rFonts w:ascii="Times New Roman" w:hAnsi="Times New Roman" w:cs="Times New Roman" w:hint="eastAsia"/>
          <w:bCs/>
          <w:i/>
          <w:sz w:val="20"/>
          <w:szCs w:val="20"/>
        </w:rPr>
        <w:t>, earth fixed beam.</w:t>
      </w:r>
    </w:p>
    <w:p w:rsidR="00887D3B" w:rsidRDefault="00AE2E2A">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lastRenderedPageBreak/>
        <w:t xml:space="preserve">Proposal </w:t>
      </w:r>
      <w:r>
        <w:rPr>
          <w:rFonts w:ascii="Times New Roman" w:hAnsi="Times New Roman" w:cs="Times New Roman"/>
          <w:b/>
          <w:i/>
          <w:sz w:val="20"/>
          <w:szCs w:val="20"/>
        </w:rPr>
        <w:t>2:</w:t>
      </w:r>
      <w:r>
        <w:rPr>
          <w:rFonts w:ascii="Times New Roman" w:hAnsi="Times New Roman" w:cs="Times New Roman"/>
          <w:i/>
          <w:sz w:val="20"/>
          <w:szCs w:val="20"/>
        </w:rPr>
        <w:t xml:space="preserve"> </w:t>
      </w:r>
      <w:r>
        <w:rPr>
          <w:rFonts w:ascii="Times New Roman" w:hAnsi="Times New Roman" w:cs="Times New Roman" w:hint="eastAsia"/>
          <w:i/>
          <w:sz w:val="20"/>
          <w:szCs w:val="20"/>
        </w:rPr>
        <w:t xml:space="preserve">Single-satellite based </w:t>
      </w:r>
      <w:r>
        <w:rPr>
          <w:rFonts w:ascii="Times New Roman" w:eastAsia="宋体" w:hAnsi="Times New Roman" w:cs="Times New Roman" w:hint="eastAsia"/>
          <w:i/>
          <w:sz w:val="20"/>
          <w:szCs w:val="20"/>
        </w:rPr>
        <w:t>multi-RTT positioning method can be used for UE location verification</w:t>
      </w:r>
      <w:r>
        <w:rPr>
          <w:rFonts w:ascii="Times New Roman" w:eastAsia="宋体" w:hAnsi="Times New Roman" w:cs="Times New Roman"/>
          <w:i/>
          <w:sz w:val="20"/>
          <w:szCs w:val="20"/>
        </w:rPr>
        <w:t xml:space="preserve"> for </w:t>
      </w:r>
      <w:r>
        <w:rPr>
          <w:rFonts w:ascii="Times New Roman" w:eastAsia="宋体" w:hAnsi="Times New Roman" w:cs="Times New Roman" w:hint="eastAsia"/>
          <w:i/>
          <w:sz w:val="20"/>
          <w:szCs w:val="20"/>
        </w:rPr>
        <w:t xml:space="preserve">earth fixed beam in </w:t>
      </w:r>
      <w:r>
        <w:rPr>
          <w:rFonts w:ascii="Times New Roman" w:eastAsia="宋体" w:hAnsi="Times New Roman" w:cs="Times New Roman"/>
          <w:i/>
          <w:sz w:val="20"/>
          <w:szCs w:val="20"/>
        </w:rPr>
        <w:t>LEO</w:t>
      </w:r>
      <w:r>
        <w:rPr>
          <w:rFonts w:ascii="Times New Roman" w:eastAsia="宋体" w:hAnsi="Times New Roman" w:cs="Times New Roman" w:hint="eastAsia"/>
          <w:i/>
          <w:sz w:val="20"/>
          <w:szCs w:val="20"/>
        </w:rPr>
        <w:t xml:space="preserve">. </w:t>
      </w:r>
    </w:p>
    <w:p w:rsidR="00887D3B" w:rsidRDefault="00AE2E2A">
      <w:pPr>
        <w:pStyle w:val="2"/>
        <w:keepNext w:val="0"/>
        <w:keepLines w:val="0"/>
        <w:widowControl w:val="0"/>
        <w:tabs>
          <w:tab w:val="left" w:pos="432"/>
        </w:tabs>
        <w:overflowPunct/>
        <w:snapToGrid w:val="0"/>
        <w:spacing w:beforeLines="50" w:before="120" w:afterLines="50" w:after="120"/>
        <w:ind w:left="431" w:hanging="431"/>
        <w:textAlignment w:val="auto"/>
        <w:rPr>
          <w:rFonts w:eastAsia="黑体" w:cs="Times New Roman"/>
          <w:b/>
          <w:bCs/>
          <w:sz w:val="22"/>
          <w:szCs w:val="20"/>
          <w:lang w:val="en-US"/>
        </w:rPr>
      </w:pPr>
      <w:r>
        <w:rPr>
          <w:rFonts w:eastAsia="黑体" w:cs="Times New Roman"/>
          <w:b/>
          <w:bCs/>
          <w:sz w:val="22"/>
          <w:szCs w:val="20"/>
          <w:lang w:val="en-US"/>
        </w:rPr>
        <w:t>3.</w:t>
      </w:r>
      <w:r>
        <w:rPr>
          <w:rFonts w:eastAsia="黑体" w:cs="Times New Roman" w:hint="eastAsia"/>
          <w:b/>
          <w:bCs/>
          <w:sz w:val="22"/>
          <w:szCs w:val="20"/>
          <w:lang w:val="en-US"/>
        </w:rPr>
        <w:t>3</w:t>
      </w:r>
      <w:r>
        <w:rPr>
          <w:rFonts w:eastAsia="黑体" w:cs="Times New Roman"/>
          <w:b/>
          <w:bCs/>
          <w:sz w:val="22"/>
          <w:szCs w:val="20"/>
          <w:lang w:val="en-US"/>
        </w:rPr>
        <w:t xml:space="preserve"> Single satellite based positioning</w:t>
      </w:r>
      <w:r>
        <w:rPr>
          <w:rFonts w:eastAsia="黑体" w:cs="Times New Roman" w:hint="eastAsia"/>
          <w:b/>
          <w:bCs/>
          <w:sz w:val="22"/>
          <w:szCs w:val="20"/>
          <w:lang w:val="en-US"/>
        </w:rPr>
        <w:t xml:space="preserve"> for earth moving beam</w:t>
      </w:r>
    </w:p>
    <w:p w:rsidR="00887D3B" w:rsidRDefault="00AE2E2A">
      <w:pPr>
        <w:spacing w:after="120"/>
        <w:ind w:left="420"/>
        <w:rPr>
          <w:rFonts w:ascii="Times New Roman" w:eastAsia="宋体" w:hAnsi="Times New Roman" w:cs="Times New Roman"/>
          <w:sz w:val="20"/>
          <w:szCs w:val="20"/>
        </w:rPr>
      </w:pPr>
      <w:r w:rsidRPr="00D60F62">
        <w:rPr>
          <w:rFonts w:ascii="Times New Roman" w:eastAsia="宋体" w:hAnsi="Times New Roman" w:cs="Times New Roman"/>
          <w:sz w:val="20"/>
          <w:szCs w:val="20"/>
        </w:rPr>
        <w:t xml:space="preserve">In this section, the single satellite based positioning for earth </w:t>
      </w:r>
      <w:r w:rsidR="00442B8A" w:rsidRPr="00D60F62">
        <w:rPr>
          <w:rFonts w:ascii="Times New Roman" w:eastAsia="宋体" w:hAnsi="Times New Roman" w:cs="Times New Roman"/>
          <w:sz w:val="20"/>
          <w:szCs w:val="20"/>
        </w:rPr>
        <w:t>moving</w:t>
      </w:r>
      <w:r w:rsidRPr="00D60F62">
        <w:rPr>
          <w:rFonts w:ascii="Times New Roman" w:eastAsia="宋体" w:hAnsi="Times New Roman" w:cs="Times New Roman"/>
          <w:sz w:val="20"/>
          <w:szCs w:val="20"/>
        </w:rPr>
        <w:t xml:space="preserve"> beam is evaluated. As shown in </w:t>
      </w:r>
      <w:r w:rsidRPr="00D60F62">
        <w:rPr>
          <w:rFonts w:ascii="Times New Roman" w:eastAsia="宋体" w:hAnsi="Times New Roman" w:cs="Times New Roman"/>
          <w:sz w:val="20"/>
          <w:szCs w:val="20"/>
        </w:rPr>
        <w:fldChar w:fldCharType="begin"/>
      </w:r>
      <w:r w:rsidRPr="00D60F62">
        <w:rPr>
          <w:rFonts w:ascii="Times New Roman" w:eastAsia="宋体" w:hAnsi="Times New Roman" w:cs="Times New Roman"/>
          <w:sz w:val="20"/>
          <w:szCs w:val="20"/>
        </w:rPr>
        <w:instrText xml:space="preserve"> REF _Ref23091 \h </w:instrText>
      </w:r>
      <w:r w:rsidR="00D60F62" w:rsidRPr="00D60F62">
        <w:rPr>
          <w:rFonts w:ascii="Times New Roman" w:eastAsia="宋体" w:hAnsi="Times New Roman" w:cs="Times New Roman"/>
          <w:sz w:val="20"/>
          <w:szCs w:val="20"/>
        </w:rPr>
        <w:instrText xml:space="preserve"> \* MERGEFORMAT </w:instrText>
      </w:r>
      <w:r w:rsidRPr="00D60F62">
        <w:rPr>
          <w:rFonts w:ascii="Times New Roman" w:eastAsia="宋体" w:hAnsi="Times New Roman" w:cs="Times New Roman"/>
          <w:sz w:val="20"/>
          <w:szCs w:val="20"/>
        </w:rPr>
      </w:r>
      <w:r w:rsidRPr="00D60F62">
        <w:rPr>
          <w:rFonts w:ascii="Times New Roman" w:eastAsia="宋体" w:hAnsi="Times New Roman" w:cs="Times New Roman"/>
          <w:sz w:val="20"/>
          <w:szCs w:val="20"/>
        </w:rPr>
        <w:fldChar w:fldCharType="separate"/>
      </w:r>
      <w:r w:rsidRPr="00D60F62">
        <w:rPr>
          <w:rFonts w:ascii="Times New Roman" w:hAnsi="Times New Roman" w:cs="Times New Roman"/>
          <w:sz w:val="20"/>
          <w:szCs w:val="20"/>
        </w:rPr>
        <w:t>Figure 4</w:t>
      </w:r>
      <w:r w:rsidRPr="00D60F62">
        <w:rPr>
          <w:rFonts w:ascii="Times New Roman" w:eastAsia="宋体" w:hAnsi="Times New Roman" w:cs="Times New Roman"/>
          <w:sz w:val="20"/>
          <w:szCs w:val="20"/>
        </w:rPr>
        <w:fldChar w:fldCharType="end"/>
      </w:r>
      <w:r w:rsidRPr="00D60F62">
        <w:rPr>
          <w:rFonts w:ascii="Times New Roman" w:eastAsia="宋体" w:hAnsi="Times New Roman" w:cs="Times New Roman"/>
          <w:sz w:val="20"/>
          <w:szCs w:val="20"/>
        </w:rPr>
        <w:t>, the satellite is assumed to hav</w:t>
      </w:r>
      <w:r>
        <w:rPr>
          <w:rFonts w:ascii="Times New Roman" w:eastAsia="宋体" w:hAnsi="Times New Roman" w:cs="Times New Roman" w:hint="eastAsia"/>
          <w:sz w:val="20"/>
          <w:szCs w:val="20"/>
        </w:rPr>
        <w:t>e 19 beams.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The diameter of nadir beam is assumed as 50km. UE is assumed randomly located within the center 7 beams (which have longer serving time). </w:t>
      </w:r>
      <w:r>
        <w:rPr>
          <w:rFonts w:ascii="Times New Roman" w:eastAsia="宋体" w:hAnsi="Times New Roman" w:cs="Times New Roman"/>
          <w:sz w:val="20"/>
          <w:szCs w:val="20"/>
        </w:rPr>
        <w:t xml:space="preserve">Moreover, the satellite position </w:t>
      </w:r>
      <w:r>
        <w:rPr>
          <w:rFonts w:ascii="Times New Roman" w:eastAsia="宋体" w:hAnsi="Times New Roman" w:cs="Times New Roman" w:hint="eastAsia"/>
          <w:sz w:val="20"/>
          <w:szCs w:val="20"/>
        </w:rPr>
        <w:t>corresp</w:t>
      </w:r>
      <w:r w:rsidRPr="00DC1DD2">
        <w:rPr>
          <w:rFonts w:ascii="Times New Roman" w:eastAsia="宋体" w:hAnsi="Times New Roman" w:cs="Times New Roman"/>
          <w:sz w:val="20"/>
          <w:szCs w:val="20"/>
        </w:rPr>
        <w:t xml:space="preserve">onding to </w:t>
      </w:r>
      <w:r w:rsidRPr="00DC1DD2">
        <w:rPr>
          <w:rFonts w:ascii="Times New Roman" w:eastAsia="宋体" w:hAnsi="Times New Roman" w:cs="Times New Roman"/>
          <w:sz w:val="20"/>
          <w:szCs w:val="20"/>
        </w:rPr>
        <w:fldChar w:fldCharType="begin"/>
      </w:r>
      <w:r w:rsidRPr="00DC1DD2">
        <w:rPr>
          <w:rFonts w:ascii="Times New Roman" w:eastAsia="宋体" w:hAnsi="Times New Roman" w:cs="Times New Roman"/>
          <w:sz w:val="20"/>
          <w:szCs w:val="20"/>
        </w:rPr>
        <w:instrText xml:space="preserve"> REF _Ref23091 \h </w:instrText>
      </w:r>
      <w:r w:rsidR="00DC1DD2" w:rsidRPr="00DC1DD2">
        <w:rPr>
          <w:rFonts w:ascii="Times New Roman" w:eastAsia="宋体" w:hAnsi="Times New Roman" w:cs="Times New Roman"/>
          <w:sz w:val="20"/>
          <w:szCs w:val="20"/>
        </w:rPr>
        <w:instrText xml:space="preserve"> \* MERGEFORMAT </w:instrText>
      </w:r>
      <w:r w:rsidRPr="00DC1DD2">
        <w:rPr>
          <w:rFonts w:ascii="Times New Roman" w:eastAsia="宋体" w:hAnsi="Times New Roman" w:cs="Times New Roman"/>
          <w:sz w:val="20"/>
          <w:szCs w:val="20"/>
        </w:rPr>
      </w:r>
      <w:r w:rsidRPr="00DC1DD2">
        <w:rPr>
          <w:rFonts w:ascii="Times New Roman" w:eastAsia="宋体" w:hAnsi="Times New Roman" w:cs="Times New Roman"/>
          <w:sz w:val="20"/>
          <w:szCs w:val="20"/>
        </w:rPr>
        <w:fldChar w:fldCharType="separate"/>
      </w:r>
      <w:r w:rsidRPr="00DC1DD2">
        <w:rPr>
          <w:rFonts w:ascii="Times New Roman" w:hAnsi="Times New Roman" w:cs="Times New Roman"/>
          <w:sz w:val="20"/>
          <w:szCs w:val="20"/>
        </w:rPr>
        <w:t>Figure 4</w:t>
      </w:r>
      <w:r w:rsidRPr="00DC1DD2">
        <w:rPr>
          <w:rFonts w:ascii="Times New Roman" w:eastAsia="宋体" w:hAnsi="Times New Roman" w:cs="Times New Roman"/>
          <w:sz w:val="20"/>
          <w:szCs w:val="20"/>
        </w:rPr>
        <w:fldChar w:fldCharType="end"/>
      </w:r>
      <w:r w:rsidRPr="00DC1DD2">
        <w:rPr>
          <w:rFonts w:ascii="Times New Roman" w:eastAsia="宋体" w:hAnsi="Times New Roman" w:cs="Times New Roman"/>
          <w:sz w:val="20"/>
          <w:szCs w:val="20"/>
        </w:rPr>
        <w:t xml:space="preserve"> is ass</w:t>
      </w:r>
      <w:r>
        <w:rPr>
          <w:rFonts w:ascii="Times New Roman" w:eastAsia="宋体" w:hAnsi="Times New Roman" w:cs="Times New Roman"/>
          <w:sz w:val="20"/>
          <w:szCs w:val="20"/>
        </w:rPr>
        <w:t>umed to be at time t0+1.5δ. In this case, the four satellite positions for positioning at time t0, t0+ δ, t0+ 2δ and t0+ 3δ are symmetric.</w:t>
      </w:r>
      <w:r>
        <w:rPr>
          <w:rFonts w:ascii="Times New Roman" w:eastAsia="宋体" w:hAnsi="Times New Roman" w:cs="Times New Roman" w:hint="eastAsia"/>
          <w:sz w:val="20"/>
          <w:szCs w:val="20"/>
        </w:rPr>
        <w:t xml:space="preserve"> Other evaluation assumptions are same as that in previous section.</w:t>
      </w:r>
    </w:p>
    <w:p w:rsidR="00887D3B" w:rsidRDefault="00AE2E2A">
      <w:pPr>
        <w:spacing w:after="120"/>
        <w:ind w:left="420"/>
        <w:jc w:val="center"/>
        <w:rPr>
          <w:rFonts w:ascii="Times New Roman" w:eastAsia="宋体" w:hAnsi="Times New Roman" w:cs="Times New Roman"/>
          <w:sz w:val="20"/>
          <w:szCs w:val="20"/>
        </w:rPr>
      </w:pPr>
      <w:r>
        <w:rPr>
          <w:rFonts w:ascii="Times New Roman" w:eastAsia="宋体" w:hAnsi="Times New Roman" w:cs="Times New Roman" w:hint="eastAsia"/>
          <w:noProof/>
          <w:sz w:val="20"/>
          <w:szCs w:val="20"/>
        </w:rPr>
        <w:drawing>
          <wp:inline distT="0" distB="0" distL="114300" distR="114300">
            <wp:extent cx="3219450" cy="2184990"/>
            <wp:effectExtent l="0" t="0" r="0" b="6350"/>
            <wp:docPr id="1" name="图片 1" descr="Layout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ayoutfigure"/>
                    <pic:cNvPicPr>
                      <a:picLocks noChangeAspect="1"/>
                    </pic:cNvPicPr>
                  </pic:nvPicPr>
                  <pic:blipFill>
                    <a:blip r:embed="rId12"/>
                    <a:stretch>
                      <a:fillRect/>
                    </a:stretch>
                  </pic:blipFill>
                  <pic:spPr>
                    <a:xfrm>
                      <a:off x="0" y="0"/>
                      <a:ext cx="3225390" cy="2189021"/>
                    </a:xfrm>
                    <a:prstGeom prst="rect">
                      <a:avLst/>
                    </a:prstGeom>
                  </pic:spPr>
                </pic:pic>
              </a:graphicData>
            </a:graphic>
          </wp:inline>
        </w:drawing>
      </w:r>
    </w:p>
    <w:p w:rsidR="00887D3B" w:rsidRDefault="00AE2E2A">
      <w:pPr>
        <w:pStyle w:val="a3"/>
        <w:rPr>
          <w:b w:val="0"/>
          <w:bCs w:val="0"/>
          <w:lang w:val="en-US"/>
        </w:rPr>
      </w:pPr>
      <w:bookmarkStart w:id="13" w:name="_Ref23091"/>
      <w:r>
        <w:rPr>
          <w:rFonts w:hint="eastAsia"/>
          <w:b w:val="0"/>
          <w:bCs w:val="0"/>
          <w:lang w:val="en-US"/>
        </w:rPr>
        <w:t xml:space="preserve">Figure </w:t>
      </w:r>
      <w:r>
        <w:rPr>
          <w:rFonts w:hint="eastAsia"/>
          <w:b w:val="0"/>
          <w:bCs w:val="0"/>
          <w:lang w:val="en-US"/>
        </w:rPr>
        <w:fldChar w:fldCharType="begin"/>
      </w:r>
      <w:r>
        <w:rPr>
          <w:rFonts w:hint="eastAsia"/>
          <w:b w:val="0"/>
          <w:bCs w:val="0"/>
          <w:lang w:val="en-US"/>
        </w:rPr>
        <w:instrText xml:space="preserve"> SEQ Figure \* ARABIC </w:instrText>
      </w:r>
      <w:r>
        <w:rPr>
          <w:rFonts w:hint="eastAsia"/>
          <w:b w:val="0"/>
          <w:bCs w:val="0"/>
          <w:lang w:val="en-US"/>
        </w:rPr>
        <w:fldChar w:fldCharType="separate"/>
      </w:r>
      <w:r>
        <w:rPr>
          <w:rFonts w:hint="eastAsia"/>
          <w:b w:val="0"/>
          <w:bCs w:val="0"/>
          <w:lang w:val="en-US"/>
        </w:rPr>
        <w:t>4</w:t>
      </w:r>
      <w:r>
        <w:rPr>
          <w:rFonts w:hint="eastAsia"/>
          <w:b w:val="0"/>
          <w:bCs w:val="0"/>
          <w:lang w:val="en-US"/>
        </w:rPr>
        <w:fldChar w:fldCharType="end"/>
      </w:r>
      <w:bookmarkEnd w:id="13"/>
      <w:r>
        <w:rPr>
          <w:rFonts w:hint="eastAsia"/>
          <w:b w:val="0"/>
          <w:bCs w:val="0"/>
          <w:lang w:val="en-US"/>
        </w:rPr>
        <w:t xml:space="preserve"> </w:t>
      </w:r>
      <w:r>
        <w:rPr>
          <w:b w:val="0"/>
          <w:bCs w:val="0"/>
          <w:lang w:val="en-US"/>
        </w:rPr>
        <w:t xml:space="preserve">Illustration of </w:t>
      </w:r>
      <w:r>
        <w:rPr>
          <w:rFonts w:hint="eastAsia"/>
          <w:b w:val="0"/>
          <w:bCs w:val="0"/>
          <w:lang w:val="en-US"/>
        </w:rPr>
        <w:t>beam layout for earth moving beam case</w:t>
      </w:r>
    </w:p>
    <w:p w:rsidR="00887D3B" w:rsidRDefault="00AE2E2A">
      <w:pPr>
        <w:spacing w:after="120"/>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With above assumptions, </w:t>
      </w:r>
      <w:r>
        <w:rPr>
          <w:rFonts w:ascii="Times New Roman" w:eastAsia="宋体" w:hAnsi="Times New Roman" w:cs="Times New Roman"/>
          <w:sz w:val="20"/>
          <w:szCs w:val="20"/>
        </w:rPr>
        <w:t xml:space="preserve">performance evaluation results with consideration of ambiguity issue are listed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_Ref14375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Table 4</w:t>
      </w:r>
      <w:r>
        <w:rPr>
          <w:rFonts w:ascii="Times New Roman" w:eastAsia="宋体" w:hAnsi="Times New Roman" w:cs="Times New Roman"/>
          <w:sz w:val="20"/>
          <w:szCs w:val="20"/>
        </w:rPr>
        <w:fldChar w:fldCharType="end"/>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_Ref115105088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Table 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and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_Ref115105093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Table 6</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Smaller </w:t>
      </w:r>
      <w:r>
        <w:rPr>
          <w:rFonts w:ascii="Times New Roman" w:eastAsia="宋体" w:hAnsi="Times New Roman"/>
          <w:sz w:val="20"/>
          <w:szCs w:val="20"/>
        </w:rPr>
        <w:t>δ</w:t>
      </w:r>
      <w:r>
        <w:rPr>
          <w:rFonts w:ascii="Times New Roman" w:eastAsia="宋体" w:hAnsi="Times New Roman" w:hint="eastAsia"/>
          <w:sz w:val="20"/>
          <w:szCs w:val="20"/>
        </w:rPr>
        <w:t xml:space="preserve"> </w:t>
      </w:r>
      <w:r>
        <w:rPr>
          <w:rFonts w:ascii="Times New Roman" w:eastAsia="宋体" w:hAnsi="Times New Roman" w:cs="Times New Roman" w:hint="eastAsia"/>
          <w:sz w:val="20"/>
          <w:szCs w:val="20"/>
        </w:rPr>
        <w:t>is consider here since the serving time for this case is much shorter than that for earth fixed beam.</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Note that only the UEs that can be served by the satellite at all four time instants are counted in CDF. From the evaluation results, only when </w:t>
      </w:r>
      <w:r>
        <w:rPr>
          <w:rFonts w:ascii="Times New Roman" w:eastAsia="宋体" w:hAnsi="Times New Roman"/>
          <w:sz w:val="20"/>
          <w:szCs w:val="20"/>
        </w:rPr>
        <w:t>δ=</w:t>
      </w:r>
      <w:r>
        <w:rPr>
          <w:rFonts w:ascii="Times New Roman" w:eastAsia="宋体" w:hAnsi="Times New Roman" w:hint="eastAsia"/>
          <w:sz w:val="20"/>
          <w:szCs w:val="20"/>
        </w:rPr>
        <w:t>8s, the positioning error can be smaller than 10km with over 50% probability but still lower than 67% probability. Hence, for typical earth moving beam scenario, single satellite based positioning cannot work. There are mainly two factors that result in the bad performance. The first one is that, the measurement period is short due to short serving time, which leads to bad space spread of anchor nodes and degraded performance. The second one is that, the UE locations are near the orbit plane, where the ambiguity issue in the direction perpendicular to orbit plane is more significant.</w:t>
      </w:r>
    </w:p>
    <w:p w:rsidR="00887D3B" w:rsidRDefault="00AE2E2A">
      <w:pPr>
        <w:pStyle w:val="a3"/>
        <w:numPr>
          <w:ilvl w:val="7"/>
          <w:numId w:val="0"/>
        </w:numPr>
        <w:ind w:leftChars="200" w:left="440"/>
        <w:rPr>
          <w:b w:val="0"/>
          <w:bCs w:val="0"/>
          <w:lang w:val="en-US"/>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7</w:t>
      </w:r>
      <w:r>
        <w:rPr>
          <w:b w:val="0"/>
          <w:bCs w:val="0"/>
        </w:rPr>
        <w:fldChar w:fldCharType="end"/>
      </w:r>
      <w:r>
        <w:rPr>
          <w:rFonts w:hint="eastAsia"/>
          <w:b w:val="0"/>
          <w:bCs w:val="0"/>
          <w:lang w:val="en-US"/>
        </w:rPr>
        <w:t xml:space="preserve"> </w:t>
      </w:r>
      <w:r>
        <w:rPr>
          <w:b w:val="0"/>
          <w:bCs w:val="0"/>
          <w:lang w:val="en-US"/>
        </w:rPr>
        <w:t>Positioning error performance for multi-RTT with consideration of ambiguity issue</w:t>
      </w:r>
    </w:p>
    <w:tbl>
      <w:tblPr>
        <w:tblStyle w:val="ac"/>
        <w:tblW w:w="3752" w:type="pct"/>
        <w:jc w:val="center"/>
        <w:tblLayout w:type="fixed"/>
        <w:tblLook w:val="04A0" w:firstRow="1" w:lastRow="0" w:firstColumn="1" w:lastColumn="0" w:noHBand="0" w:noVBand="1"/>
      </w:tblPr>
      <w:tblGrid>
        <w:gridCol w:w="1168"/>
        <w:gridCol w:w="1171"/>
        <w:gridCol w:w="1171"/>
        <w:gridCol w:w="1168"/>
        <w:gridCol w:w="1171"/>
        <w:gridCol w:w="1167"/>
      </w:tblGrid>
      <w:tr w:rsidR="00887D3B">
        <w:trPr>
          <w:jc w:val="center"/>
        </w:trPr>
        <w:tc>
          <w:tcPr>
            <w:tcW w:w="832" w:type="pct"/>
            <w:vAlign w:val="center"/>
          </w:tcPr>
          <w:p w:rsidR="00887D3B" w:rsidRDefault="00887D3B">
            <w:pPr>
              <w:pStyle w:val="aa"/>
              <w:jc w:val="center"/>
              <w:rPr>
                <w:sz w:val="20"/>
                <w:szCs w:val="20"/>
              </w:rPr>
            </w:pP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CDF=50%</w:t>
            </w: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CDF=67%</w:t>
            </w:r>
          </w:p>
        </w:tc>
        <w:tc>
          <w:tcPr>
            <w:tcW w:w="832"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CDF=80%</w:t>
            </w: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CDF=90%</w:t>
            </w:r>
          </w:p>
        </w:tc>
        <w:tc>
          <w:tcPr>
            <w:tcW w:w="832" w:type="pct"/>
          </w:tcPr>
          <w:p w:rsidR="00887D3B" w:rsidRDefault="00AE2E2A">
            <w:pPr>
              <w:pStyle w:val="aa"/>
              <w:jc w:val="center"/>
              <w:rPr>
                <w:rFonts w:ascii="Times New Roman" w:hAnsi="Times New Roman"/>
                <w:sz w:val="20"/>
                <w:szCs w:val="20"/>
              </w:rPr>
            </w:pPr>
            <w:r>
              <w:rPr>
                <w:rFonts w:ascii="Times New Roman" w:hAnsi="Times New Roman"/>
                <w:sz w:val="20"/>
                <w:szCs w:val="20"/>
              </w:rPr>
              <w:t>CDF=95%</w:t>
            </w:r>
          </w:p>
        </w:tc>
      </w:tr>
      <w:tr w:rsidR="00887D3B">
        <w:trPr>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w:t>
            </w:r>
            <w:r>
              <w:rPr>
                <w:rFonts w:ascii="Times New Roman" w:eastAsia="宋体" w:hAnsi="Times New Roman" w:hint="eastAsia"/>
                <w:sz w:val="20"/>
                <w:szCs w:val="20"/>
              </w:rPr>
              <w:t>1s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 xml:space="preserve">21.84 </w:t>
            </w:r>
            <w:r>
              <w:rPr>
                <w:rFonts w:ascii="Times New Roman" w:eastAsia="宋体" w:hAnsi="Times New Roman"/>
                <w:sz w:val="20"/>
                <w:szCs w:val="20"/>
              </w:rPr>
              <w:t>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 xml:space="preserve">29.56 </w:t>
            </w:r>
            <w:r>
              <w:rPr>
                <w:rFonts w:ascii="Times New Roman" w:eastAsia="宋体" w:hAnsi="Times New Roman"/>
                <w:sz w:val="20"/>
                <w:szCs w:val="20"/>
              </w:rPr>
              <w:t>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 xml:space="preserve">37.97 </w:t>
            </w:r>
            <w:r>
              <w:rPr>
                <w:rFonts w:ascii="Times New Roman" w:eastAsia="宋体" w:hAnsi="Times New Roman"/>
                <w:sz w:val="20"/>
                <w:szCs w:val="20"/>
              </w:rPr>
              <w:t>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 xml:space="preserve">47.00 </w:t>
            </w:r>
            <w:r>
              <w:rPr>
                <w:rFonts w:ascii="Times New Roman" w:eastAsia="宋体" w:hAnsi="Times New Roman"/>
                <w:sz w:val="20"/>
                <w:szCs w:val="20"/>
              </w:rPr>
              <w:t>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 xml:space="preserve">54.78 </w:t>
            </w:r>
            <w:r>
              <w:rPr>
                <w:rFonts w:ascii="Times New Roman" w:eastAsia="宋体" w:hAnsi="Times New Roman"/>
                <w:sz w:val="20"/>
                <w:szCs w:val="20"/>
              </w:rPr>
              <w:t>km</w:t>
            </w:r>
          </w:p>
        </w:tc>
      </w:tr>
      <w:tr w:rsidR="00887D3B">
        <w:trPr>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w:t>
            </w:r>
            <w:r>
              <w:rPr>
                <w:rFonts w:ascii="Times New Roman" w:eastAsia="宋体" w:hAnsi="Times New Roman" w:hint="eastAsia"/>
                <w:sz w:val="20"/>
                <w:szCs w:val="20"/>
              </w:rPr>
              <w:t>5s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 xml:space="preserve">19.50 </w:t>
            </w:r>
            <w:r>
              <w:rPr>
                <w:rFonts w:ascii="Times New Roman" w:eastAsia="宋体" w:hAnsi="Times New Roman"/>
                <w:sz w:val="20"/>
                <w:szCs w:val="20"/>
              </w:rPr>
              <w:t>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 xml:space="preserve">27.08 </w:t>
            </w:r>
            <w:r>
              <w:rPr>
                <w:rFonts w:ascii="Times New Roman" w:eastAsia="宋体" w:hAnsi="Times New Roman"/>
                <w:sz w:val="20"/>
                <w:szCs w:val="20"/>
              </w:rPr>
              <w:t>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 xml:space="preserve">35.56 </w:t>
            </w:r>
            <w:r>
              <w:rPr>
                <w:rFonts w:ascii="Times New Roman" w:eastAsia="宋体" w:hAnsi="Times New Roman"/>
                <w:sz w:val="20"/>
                <w:szCs w:val="20"/>
              </w:rPr>
              <w:t>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 xml:space="preserve">45.05 </w:t>
            </w:r>
            <w:r>
              <w:rPr>
                <w:rFonts w:ascii="Times New Roman" w:eastAsia="宋体" w:hAnsi="Times New Roman"/>
                <w:sz w:val="20"/>
                <w:szCs w:val="20"/>
              </w:rPr>
              <w:t>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 xml:space="preserve">53.35 </w:t>
            </w:r>
            <w:r>
              <w:rPr>
                <w:rFonts w:ascii="Times New Roman" w:eastAsia="宋体" w:hAnsi="Times New Roman"/>
                <w:sz w:val="20"/>
                <w:szCs w:val="20"/>
              </w:rPr>
              <w:t>km</w:t>
            </w:r>
          </w:p>
        </w:tc>
      </w:tr>
      <w:tr w:rsidR="00887D3B">
        <w:trPr>
          <w:trHeight w:val="90"/>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w:t>
            </w:r>
            <w:r>
              <w:rPr>
                <w:rFonts w:ascii="Times New Roman" w:eastAsia="宋体" w:hAnsi="Times New Roman" w:hint="eastAsia"/>
                <w:sz w:val="20"/>
                <w:szCs w:val="20"/>
              </w:rPr>
              <w:t>8s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 xml:space="preserve">6.66 </w:t>
            </w:r>
            <w:r>
              <w:rPr>
                <w:rFonts w:ascii="Times New Roman" w:eastAsia="宋体" w:hAnsi="Times New Roman"/>
                <w:sz w:val="20"/>
                <w:szCs w:val="20"/>
              </w:rPr>
              <w:t>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 xml:space="preserve">12.32 </w:t>
            </w:r>
            <w:r>
              <w:rPr>
                <w:rFonts w:ascii="Times New Roman" w:eastAsia="宋体" w:hAnsi="Times New Roman"/>
                <w:sz w:val="20"/>
                <w:szCs w:val="20"/>
              </w:rPr>
              <w:t>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 xml:space="preserve">14.94 </w:t>
            </w:r>
            <w:r>
              <w:rPr>
                <w:rFonts w:ascii="Times New Roman" w:eastAsia="宋体" w:hAnsi="Times New Roman"/>
                <w:sz w:val="20"/>
                <w:szCs w:val="20"/>
              </w:rPr>
              <w:t>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 xml:space="preserve">20.64 </w:t>
            </w:r>
            <w:r>
              <w:rPr>
                <w:rFonts w:ascii="Times New Roman" w:eastAsia="宋体" w:hAnsi="Times New Roman"/>
                <w:sz w:val="20"/>
                <w:szCs w:val="20"/>
              </w:rPr>
              <w:t>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 xml:space="preserve">24.87 </w:t>
            </w:r>
            <w:r>
              <w:rPr>
                <w:rFonts w:ascii="Times New Roman" w:eastAsia="宋体" w:hAnsi="Times New Roman"/>
                <w:sz w:val="20"/>
                <w:szCs w:val="20"/>
              </w:rPr>
              <w:t>km</w:t>
            </w:r>
          </w:p>
        </w:tc>
      </w:tr>
    </w:tbl>
    <w:p w:rsidR="00887D3B" w:rsidRDefault="00AE2E2A">
      <w:pPr>
        <w:pStyle w:val="a3"/>
        <w:numPr>
          <w:ilvl w:val="7"/>
          <w:numId w:val="0"/>
        </w:numPr>
        <w:ind w:leftChars="200" w:left="440"/>
        <w:rPr>
          <w:b w:val="0"/>
          <w:bCs w:val="0"/>
          <w:lang w:val="en-US"/>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8</w:t>
      </w:r>
      <w:r>
        <w:rPr>
          <w:b w:val="0"/>
          <w:bCs w:val="0"/>
        </w:rPr>
        <w:fldChar w:fldCharType="end"/>
      </w:r>
      <w:r>
        <w:rPr>
          <w:rFonts w:hint="eastAsia"/>
          <w:b w:val="0"/>
          <w:bCs w:val="0"/>
          <w:lang w:val="en-US"/>
        </w:rPr>
        <w:t xml:space="preserve"> </w:t>
      </w:r>
      <w:r>
        <w:rPr>
          <w:b w:val="0"/>
          <w:bCs w:val="0"/>
          <w:lang w:val="en-US"/>
        </w:rPr>
        <w:t>Positioning error performance for UL-TDOA with consideration of ambiguity issue</w:t>
      </w:r>
    </w:p>
    <w:tbl>
      <w:tblPr>
        <w:tblStyle w:val="ac"/>
        <w:tblW w:w="3752" w:type="pct"/>
        <w:jc w:val="center"/>
        <w:tblLayout w:type="fixed"/>
        <w:tblLook w:val="04A0" w:firstRow="1" w:lastRow="0" w:firstColumn="1" w:lastColumn="0" w:noHBand="0" w:noVBand="1"/>
      </w:tblPr>
      <w:tblGrid>
        <w:gridCol w:w="1168"/>
        <w:gridCol w:w="1171"/>
        <w:gridCol w:w="1171"/>
        <w:gridCol w:w="1168"/>
        <w:gridCol w:w="1171"/>
        <w:gridCol w:w="1167"/>
      </w:tblGrid>
      <w:tr w:rsidR="00887D3B">
        <w:trPr>
          <w:jc w:val="center"/>
        </w:trPr>
        <w:tc>
          <w:tcPr>
            <w:tcW w:w="832" w:type="pct"/>
            <w:vAlign w:val="center"/>
          </w:tcPr>
          <w:p w:rsidR="00887D3B" w:rsidRDefault="00887D3B">
            <w:pPr>
              <w:pStyle w:val="aa"/>
              <w:jc w:val="center"/>
              <w:rPr>
                <w:sz w:val="20"/>
                <w:szCs w:val="20"/>
              </w:rPr>
            </w:pP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CDF=50%</w:t>
            </w: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CDF=67%</w:t>
            </w:r>
          </w:p>
        </w:tc>
        <w:tc>
          <w:tcPr>
            <w:tcW w:w="832"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CDF=80%</w:t>
            </w: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CDF=90%</w:t>
            </w:r>
          </w:p>
        </w:tc>
        <w:tc>
          <w:tcPr>
            <w:tcW w:w="832" w:type="pct"/>
          </w:tcPr>
          <w:p w:rsidR="00887D3B" w:rsidRDefault="00AE2E2A">
            <w:pPr>
              <w:pStyle w:val="aa"/>
              <w:jc w:val="center"/>
              <w:rPr>
                <w:rFonts w:ascii="Times New Roman" w:hAnsi="Times New Roman"/>
                <w:sz w:val="20"/>
                <w:szCs w:val="20"/>
              </w:rPr>
            </w:pPr>
            <w:r>
              <w:rPr>
                <w:rFonts w:ascii="Times New Roman" w:hAnsi="Times New Roman"/>
                <w:sz w:val="20"/>
                <w:szCs w:val="20"/>
              </w:rPr>
              <w:t>CDF=95%</w:t>
            </w:r>
          </w:p>
        </w:tc>
      </w:tr>
      <w:tr w:rsidR="00887D3B">
        <w:trPr>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w:t>
            </w:r>
            <w:r>
              <w:rPr>
                <w:rFonts w:ascii="Times New Roman" w:eastAsia="宋体" w:hAnsi="Times New Roman" w:hint="eastAsia"/>
                <w:sz w:val="20"/>
                <w:szCs w:val="20"/>
              </w:rPr>
              <w:t>1s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158.70</w:t>
            </w:r>
            <w:r>
              <w:rPr>
                <w:rFonts w:ascii="Times New Roman" w:eastAsia="宋体" w:hAnsi="Times New Roman"/>
                <w:sz w:val="20"/>
                <w:szCs w:val="20"/>
              </w:rPr>
              <w:t xml:space="preserve">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w:t>
            </w:r>
          </w:p>
        </w:tc>
      </w:tr>
      <w:tr w:rsidR="00887D3B">
        <w:trPr>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w:t>
            </w:r>
            <w:r>
              <w:rPr>
                <w:rFonts w:ascii="Times New Roman" w:eastAsia="宋体" w:hAnsi="Times New Roman" w:hint="eastAsia"/>
                <w:sz w:val="20"/>
                <w:szCs w:val="20"/>
              </w:rPr>
              <w:t>5s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w:t>
            </w:r>
          </w:p>
        </w:tc>
        <w:tc>
          <w:tcPr>
            <w:tcW w:w="1199" w:type="dxa"/>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w:t>
            </w:r>
          </w:p>
        </w:tc>
        <w:tc>
          <w:tcPr>
            <w:tcW w:w="1197" w:type="dxa"/>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w:t>
            </w:r>
          </w:p>
        </w:tc>
        <w:tc>
          <w:tcPr>
            <w:tcW w:w="1199" w:type="dxa"/>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w:t>
            </w:r>
          </w:p>
        </w:tc>
        <w:tc>
          <w:tcPr>
            <w:tcW w:w="1196" w:type="dxa"/>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w:t>
            </w:r>
          </w:p>
        </w:tc>
      </w:tr>
      <w:tr w:rsidR="00887D3B">
        <w:trPr>
          <w:trHeight w:val="90"/>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w:t>
            </w:r>
            <w:r>
              <w:rPr>
                <w:rFonts w:ascii="Times New Roman" w:eastAsia="宋体" w:hAnsi="Times New Roman" w:hint="eastAsia"/>
                <w:sz w:val="20"/>
                <w:szCs w:val="20"/>
              </w:rPr>
              <w:t>8s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w:t>
            </w:r>
          </w:p>
        </w:tc>
        <w:tc>
          <w:tcPr>
            <w:tcW w:w="1199" w:type="dxa"/>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w:t>
            </w:r>
          </w:p>
        </w:tc>
        <w:tc>
          <w:tcPr>
            <w:tcW w:w="1197" w:type="dxa"/>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w:t>
            </w:r>
          </w:p>
        </w:tc>
        <w:tc>
          <w:tcPr>
            <w:tcW w:w="1199" w:type="dxa"/>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w:t>
            </w:r>
          </w:p>
        </w:tc>
        <w:tc>
          <w:tcPr>
            <w:tcW w:w="1196" w:type="dxa"/>
          </w:tcPr>
          <w:p w:rsidR="00887D3B" w:rsidRDefault="00AE2E2A">
            <w:pPr>
              <w:pStyle w:val="aa"/>
              <w:jc w:val="center"/>
              <w:rPr>
                <w:rFonts w:ascii="Times New Roman" w:eastAsia="宋体" w:hAnsi="Times New Roman"/>
                <w:sz w:val="20"/>
                <w:szCs w:val="20"/>
              </w:rPr>
            </w:pPr>
            <w:r>
              <w:rPr>
                <w:rFonts w:ascii="Times New Roman" w:eastAsia="宋体" w:hAnsi="Times New Roman"/>
                <w:sz w:val="20"/>
                <w:szCs w:val="20"/>
              </w:rPr>
              <w:t>~</w:t>
            </w:r>
          </w:p>
        </w:tc>
      </w:tr>
    </w:tbl>
    <w:p w:rsidR="00887D3B" w:rsidRDefault="00AE2E2A">
      <w:pPr>
        <w:pStyle w:val="a3"/>
        <w:numPr>
          <w:ilvl w:val="7"/>
          <w:numId w:val="0"/>
        </w:numPr>
        <w:ind w:leftChars="200" w:left="440"/>
        <w:rPr>
          <w:b w:val="0"/>
          <w:bCs w:val="0"/>
          <w:lang w:val="en-US"/>
        </w:rPr>
      </w:pPr>
      <w:r>
        <w:rPr>
          <w:b w:val="0"/>
          <w:bCs w:val="0"/>
        </w:rPr>
        <w:t xml:space="preserve">Table </w:t>
      </w:r>
      <w:r>
        <w:rPr>
          <w:b w:val="0"/>
          <w:bCs w:val="0"/>
        </w:rPr>
        <w:fldChar w:fldCharType="begin"/>
      </w:r>
      <w:r>
        <w:rPr>
          <w:b w:val="0"/>
          <w:bCs w:val="0"/>
        </w:rPr>
        <w:instrText xml:space="preserve"> SEQ Table \* ARABIC </w:instrText>
      </w:r>
      <w:r>
        <w:rPr>
          <w:b w:val="0"/>
          <w:bCs w:val="0"/>
        </w:rPr>
        <w:fldChar w:fldCharType="separate"/>
      </w:r>
      <w:r>
        <w:rPr>
          <w:b w:val="0"/>
          <w:bCs w:val="0"/>
        </w:rPr>
        <w:t>9</w:t>
      </w:r>
      <w:r>
        <w:rPr>
          <w:b w:val="0"/>
          <w:bCs w:val="0"/>
        </w:rPr>
        <w:fldChar w:fldCharType="end"/>
      </w:r>
      <w:r>
        <w:rPr>
          <w:rFonts w:hint="eastAsia"/>
          <w:b w:val="0"/>
          <w:bCs w:val="0"/>
          <w:lang w:val="en-US"/>
        </w:rPr>
        <w:t xml:space="preserve"> </w:t>
      </w:r>
      <w:r>
        <w:rPr>
          <w:b w:val="0"/>
          <w:bCs w:val="0"/>
          <w:lang w:val="en-US"/>
        </w:rPr>
        <w:t>Positioning error performance for DL-TDOA with consideration of ambiguity issue</w:t>
      </w:r>
    </w:p>
    <w:tbl>
      <w:tblPr>
        <w:tblStyle w:val="ac"/>
        <w:tblW w:w="3752" w:type="pct"/>
        <w:jc w:val="center"/>
        <w:tblLayout w:type="fixed"/>
        <w:tblLook w:val="04A0" w:firstRow="1" w:lastRow="0" w:firstColumn="1" w:lastColumn="0" w:noHBand="0" w:noVBand="1"/>
      </w:tblPr>
      <w:tblGrid>
        <w:gridCol w:w="1168"/>
        <w:gridCol w:w="1171"/>
        <w:gridCol w:w="1171"/>
        <w:gridCol w:w="1168"/>
        <w:gridCol w:w="1171"/>
        <w:gridCol w:w="1167"/>
      </w:tblGrid>
      <w:tr w:rsidR="00887D3B">
        <w:trPr>
          <w:jc w:val="center"/>
        </w:trPr>
        <w:tc>
          <w:tcPr>
            <w:tcW w:w="832" w:type="pct"/>
            <w:vAlign w:val="center"/>
          </w:tcPr>
          <w:p w:rsidR="00887D3B" w:rsidRDefault="00887D3B">
            <w:pPr>
              <w:pStyle w:val="aa"/>
              <w:jc w:val="center"/>
              <w:rPr>
                <w:sz w:val="20"/>
                <w:szCs w:val="20"/>
              </w:rPr>
            </w:pP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CDF=50%</w:t>
            </w: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CDF=67%</w:t>
            </w:r>
          </w:p>
        </w:tc>
        <w:tc>
          <w:tcPr>
            <w:tcW w:w="832"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CDF=80%</w:t>
            </w:r>
          </w:p>
        </w:tc>
        <w:tc>
          <w:tcPr>
            <w:tcW w:w="834" w:type="pct"/>
            <w:vAlign w:val="center"/>
          </w:tcPr>
          <w:p w:rsidR="00887D3B" w:rsidRDefault="00AE2E2A">
            <w:pPr>
              <w:pStyle w:val="aa"/>
              <w:jc w:val="center"/>
              <w:rPr>
                <w:rFonts w:ascii="Times New Roman" w:hAnsi="Times New Roman"/>
                <w:sz w:val="20"/>
                <w:szCs w:val="20"/>
              </w:rPr>
            </w:pPr>
            <w:r>
              <w:rPr>
                <w:rFonts w:ascii="Times New Roman" w:hAnsi="Times New Roman"/>
                <w:sz w:val="20"/>
                <w:szCs w:val="20"/>
              </w:rPr>
              <w:t>CDF=90%</w:t>
            </w:r>
          </w:p>
        </w:tc>
        <w:tc>
          <w:tcPr>
            <w:tcW w:w="832" w:type="pct"/>
          </w:tcPr>
          <w:p w:rsidR="00887D3B" w:rsidRDefault="00AE2E2A">
            <w:pPr>
              <w:pStyle w:val="aa"/>
              <w:jc w:val="center"/>
              <w:rPr>
                <w:rFonts w:ascii="Times New Roman" w:hAnsi="Times New Roman"/>
                <w:sz w:val="20"/>
                <w:szCs w:val="20"/>
              </w:rPr>
            </w:pPr>
            <w:r>
              <w:rPr>
                <w:rFonts w:ascii="Times New Roman" w:hAnsi="Times New Roman"/>
                <w:sz w:val="20"/>
                <w:szCs w:val="20"/>
              </w:rPr>
              <w:t>CDF=95%</w:t>
            </w:r>
          </w:p>
        </w:tc>
      </w:tr>
      <w:tr w:rsidR="00887D3B">
        <w:trPr>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w:t>
            </w:r>
            <w:r>
              <w:rPr>
                <w:rFonts w:ascii="Times New Roman" w:eastAsia="宋体" w:hAnsi="Times New Roman" w:hint="eastAsia"/>
                <w:sz w:val="20"/>
                <w:szCs w:val="20"/>
              </w:rPr>
              <w:t>1s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114.96</w:t>
            </w:r>
            <w:r>
              <w:rPr>
                <w:rFonts w:ascii="Times New Roman" w:eastAsia="宋体" w:hAnsi="Times New Roman"/>
                <w:sz w:val="20"/>
                <w:szCs w:val="20"/>
              </w:rPr>
              <w:t xml:space="preserve">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270.09</w:t>
            </w:r>
            <w:r>
              <w:rPr>
                <w:rFonts w:ascii="Times New Roman" w:eastAsia="宋体" w:hAnsi="Times New Roman"/>
                <w:sz w:val="20"/>
                <w:szCs w:val="20"/>
              </w:rPr>
              <w:t xml:space="preserve">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w:t>
            </w:r>
          </w:p>
        </w:tc>
      </w:tr>
      <w:tr w:rsidR="00887D3B">
        <w:trPr>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t>δ=</w:t>
            </w:r>
            <w:r>
              <w:rPr>
                <w:rFonts w:ascii="Times New Roman" w:eastAsia="宋体" w:hAnsi="Times New Roman" w:hint="eastAsia"/>
                <w:sz w:val="20"/>
                <w:szCs w:val="20"/>
              </w:rPr>
              <w:t>5s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546.25</w:t>
            </w:r>
            <w:r>
              <w:rPr>
                <w:rFonts w:ascii="Times New Roman" w:eastAsia="宋体" w:hAnsi="Times New Roman"/>
                <w:sz w:val="20"/>
                <w:szCs w:val="20"/>
              </w:rPr>
              <w:t xml:space="preserve">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585.55</w:t>
            </w:r>
            <w:r>
              <w:rPr>
                <w:rFonts w:ascii="Times New Roman" w:eastAsia="宋体" w:hAnsi="Times New Roman"/>
                <w:sz w:val="20"/>
                <w:szCs w:val="20"/>
              </w:rPr>
              <w:t xml:space="preserve"> km</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w:t>
            </w:r>
          </w:p>
        </w:tc>
      </w:tr>
      <w:tr w:rsidR="00887D3B">
        <w:trPr>
          <w:trHeight w:val="90"/>
          <w:jc w:val="center"/>
        </w:trPr>
        <w:tc>
          <w:tcPr>
            <w:tcW w:w="832" w:type="pct"/>
            <w:vAlign w:val="center"/>
          </w:tcPr>
          <w:p w:rsidR="00887D3B" w:rsidRDefault="00AE2E2A">
            <w:pPr>
              <w:pStyle w:val="aa"/>
              <w:jc w:val="center"/>
              <w:rPr>
                <w:sz w:val="20"/>
                <w:szCs w:val="20"/>
              </w:rPr>
            </w:pPr>
            <w:r>
              <w:rPr>
                <w:rFonts w:ascii="Times New Roman" w:eastAsia="宋体" w:hAnsi="Times New Roman"/>
                <w:sz w:val="20"/>
                <w:szCs w:val="20"/>
              </w:rPr>
              <w:lastRenderedPageBreak/>
              <w:t>δ=</w:t>
            </w:r>
            <w:r>
              <w:rPr>
                <w:rFonts w:ascii="Times New Roman" w:eastAsia="宋体" w:hAnsi="Times New Roman" w:hint="eastAsia"/>
                <w:sz w:val="20"/>
                <w:szCs w:val="20"/>
              </w:rPr>
              <w:t>8s</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559.05</w:t>
            </w:r>
            <w:r>
              <w:rPr>
                <w:rFonts w:ascii="Times New Roman" w:eastAsia="宋体" w:hAnsi="Times New Roman"/>
                <w:sz w:val="20"/>
                <w:szCs w:val="20"/>
              </w:rPr>
              <w:t xml:space="preserve"> km</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w:t>
            </w:r>
          </w:p>
        </w:tc>
        <w:tc>
          <w:tcPr>
            <w:tcW w:w="834"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w:t>
            </w:r>
          </w:p>
        </w:tc>
        <w:tc>
          <w:tcPr>
            <w:tcW w:w="832" w:type="pct"/>
          </w:tcPr>
          <w:p w:rsidR="00887D3B" w:rsidRDefault="00AE2E2A">
            <w:pPr>
              <w:pStyle w:val="aa"/>
              <w:jc w:val="center"/>
              <w:rPr>
                <w:rFonts w:ascii="Times New Roman" w:eastAsia="宋体" w:hAnsi="Times New Roman"/>
                <w:sz w:val="20"/>
                <w:szCs w:val="20"/>
              </w:rPr>
            </w:pPr>
            <w:r>
              <w:rPr>
                <w:rFonts w:ascii="Times New Roman" w:eastAsia="宋体" w:hAnsi="Times New Roman" w:hint="eastAsia"/>
                <w:sz w:val="20"/>
                <w:szCs w:val="20"/>
              </w:rPr>
              <w:t>~</w:t>
            </w:r>
          </w:p>
        </w:tc>
      </w:tr>
    </w:tbl>
    <w:p w:rsidR="00887D3B" w:rsidRDefault="00AE2E2A" w:rsidP="003D198D">
      <w:pPr>
        <w:spacing w:beforeLines="50" w:before="120" w:after="120" w:line="240" w:lineRule="auto"/>
        <w:ind w:left="420"/>
        <w:rPr>
          <w:rFonts w:ascii="Times New Roman" w:hAnsi="Times New Roman" w:cs="Times New Roman"/>
          <w:i/>
          <w:sz w:val="20"/>
          <w:szCs w:val="20"/>
        </w:rPr>
      </w:pPr>
      <w:r>
        <w:rPr>
          <w:rFonts w:ascii="Times New Roman" w:hAnsi="Times New Roman" w:cs="Times New Roman"/>
          <w:b/>
          <w:i/>
          <w:sz w:val="20"/>
          <w:szCs w:val="20"/>
        </w:rPr>
        <w:t xml:space="preserve">Observation </w:t>
      </w:r>
      <w:r>
        <w:rPr>
          <w:rFonts w:ascii="Times New Roman" w:hAnsi="Times New Roman" w:cs="Times New Roman" w:hint="eastAsia"/>
          <w:b/>
          <w:i/>
          <w:sz w:val="20"/>
          <w:szCs w:val="20"/>
        </w:rPr>
        <w:t>6</w:t>
      </w:r>
      <w:r>
        <w:rPr>
          <w:rFonts w:ascii="Times New Roman" w:hAnsi="Times New Roman" w:cs="Times New Roman"/>
          <w:b/>
          <w:i/>
          <w:sz w:val="20"/>
          <w:szCs w:val="20"/>
        </w:rPr>
        <w:t xml:space="preserve">: </w:t>
      </w:r>
      <w:r>
        <w:rPr>
          <w:rFonts w:ascii="Times New Roman" w:hAnsi="Times New Roman" w:cs="Times New Roman" w:hint="eastAsia"/>
          <w:bCs/>
          <w:i/>
          <w:sz w:val="20"/>
          <w:szCs w:val="20"/>
        </w:rPr>
        <w:t>For earth moving beam case, single-satellite based multi-RTT/UL-TDOA/DL-TDOA</w:t>
      </w:r>
      <w:r w:rsidR="00826AE2">
        <w:rPr>
          <w:rFonts w:ascii="Times New Roman" w:hAnsi="Times New Roman" w:cs="Times New Roman"/>
          <w:bCs/>
          <w:i/>
          <w:sz w:val="20"/>
          <w:szCs w:val="20"/>
        </w:rPr>
        <w:t xml:space="preserve"> with angular information at gNB side</w:t>
      </w:r>
      <w:r>
        <w:rPr>
          <w:rFonts w:ascii="Times New Roman" w:hAnsi="Times New Roman" w:cs="Times New Roman" w:hint="eastAsia"/>
          <w:bCs/>
          <w:i/>
          <w:sz w:val="20"/>
          <w:szCs w:val="20"/>
        </w:rPr>
        <w:t xml:space="preserve"> cannot achieve target performance.</w:t>
      </w:r>
    </w:p>
    <w:p w:rsidR="00887D3B" w:rsidRDefault="00AE2E2A">
      <w:pPr>
        <w:spacing w:after="120"/>
        <w:ind w:left="420"/>
        <w:rPr>
          <w:rFonts w:ascii="Times New Roman" w:eastAsia="宋体" w:hAnsi="Times New Roman" w:cs="Times New Roman"/>
          <w:sz w:val="20"/>
          <w:szCs w:val="20"/>
        </w:rPr>
      </w:pPr>
      <w:r>
        <w:rPr>
          <w:rFonts w:ascii="Times New Roman" w:hAnsi="Times New Roman" w:cs="Times New Roman" w:hint="eastAsia"/>
          <w:b/>
          <w:i/>
          <w:sz w:val="20"/>
          <w:szCs w:val="20"/>
        </w:rPr>
        <w:t>Proposal 3</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The earth moving beam case is deprioritized for single satellite based location verification</w:t>
      </w:r>
      <w:r>
        <w:rPr>
          <w:rFonts w:ascii="Times New Roman" w:eastAsia="宋体" w:hAnsi="Times New Roman" w:cs="Times New Roman" w:hint="eastAsia"/>
          <w:i/>
          <w:sz w:val="20"/>
          <w:szCs w:val="20"/>
        </w:rPr>
        <w:t xml:space="preserve">. </w:t>
      </w:r>
    </w:p>
    <w:p w:rsidR="00887D3B" w:rsidRDefault="00AE2E2A">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TA report based verification method</w:t>
      </w:r>
    </w:p>
    <w:p w:rsidR="00887D3B" w:rsidRDefault="00AE2E2A">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 Rel-17 NTN, TA report has been supported to accommodate the update of Koffset. In fact, the RTT between satellite and UE is equal to the UE specific TA for service link. That is, network is able to obtain the RTT based on TA report from UE and perform positioning using the multi-RTT method. To further improve the performance, defining higher TA report granularity may be considered. In Rel-17, the TA is reported with a granularity of slot, which may lead to significant quantization error. With such large error, the positioning accuracy may not be good enough. Hence, more accurate TA report may be supported for better location verification performance.</w:t>
      </w:r>
    </w:p>
    <w:p w:rsidR="00887D3B" w:rsidRDefault="00AE2E2A">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C</w:t>
      </w:r>
      <w:r>
        <w:rPr>
          <w:rFonts w:ascii="Times New Roman" w:eastAsia="宋体" w:hAnsi="Times New Roman" w:cs="Times New Roman"/>
          <w:sz w:val="20"/>
          <w:szCs w:val="20"/>
        </w:rPr>
        <w:t>ompared with legacy positioning methods based on measurement, the accuracy of TA report based method will not be affected by SNR. That is, even with low SNR, the performance of TA based solution can still be high if the granularity of report is fine enough.</w:t>
      </w:r>
    </w:p>
    <w:p w:rsidR="00887D3B" w:rsidRDefault="00AE2E2A">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W</w:t>
      </w:r>
      <w:r>
        <w:rPr>
          <w:rFonts w:ascii="Times New Roman" w:eastAsia="宋体" w:hAnsi="Times New Roman" w:cs="Times New Roman"/>
          <w:sz w:val="20"/>
          <w:szCs w:val="20"/>
        </w:rPr>
        <w:t>.r.t to the reliability of reported TA, one may have concern on it since it is calculated based on GNSS information. However, if the TA error is large, the UL synchronization will be lost and the cellular system will not work. Therefore, TA is also a RAT dependent parameter instead of purely based on GNSS information. Hence, it can be considered to have similar reliability as other RAT dependent parameters, e.g., reported information in DL-TDOA.</w:t>
      </w:r>
    </w:p>
    <w:p w:rsidR="00887D3B" w:rsidRDefault="00AE2E2A">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Observation 7</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TA report supported in Rel-17 NTN can be used for RTT estimation</w:t>
      </w:r>
      <w:r>
        <w:rPr>
          <w:rFonts w:ascii="Times New Roman" w:eastAsia="宋体" w:hAnsi="Times New Roman" w:cs="Times New Roman"/>
          <w:i/>
          <w:sz w:val="20"/>
          <w:szCs w:val="20"/>
        </w:rPr>
        <w:t>.</w:t>
      </w:r>
    </w:p>
    <w:p w:rsidR="00887D3B" w:rsidRDefault="00AE2E2A">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Observation 8</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 xml:space="preserve">TA report </w:t>
      </w:r>
      <w:r>
        <w:rPr>
          <w:rFonts w:ascii="Times New Roman" w:eastAsia="宋体" w:hAnsi="Times New Roman" w:cs="Times New Roman"/>
          <w:i/>
          <w:sz w:val="20"/>
          <w:szCs w:val="20"/>
        </w:rPr>
        <w:t>accuracy is not affected by SNR.</w:t>
      </w:r>
    </w:p>
    <w:p w:rsidR="00887D3B" w:rsidRDefault="00AE2E2A">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Observation 9</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 xml:space="preserve">TA </w:t>
      </w:r>
      <w:r>
        <w:rPr>
          <w:rFonts w:ascii="Times New Roman" w:eastAsia="宋体" w:hAnsi="Times New Roman" w:cs="Times New Roman"/>
          <w:i/>
          <w:sz w:val="20"/>
          <w:szCs w:val="20"/>
        </w:rPr>
        <w:t>reported by UE can be considered to have similar reliability as other RAT dependent parameters since it is related to UL synchronization.</w:t>
      </w:r>
    </w:p>
    <w:p w:rsidR="00887D3B" w:rsidRDefault="00AE2E2A">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Proposal 4</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TA report based location verification method can be investigated as alternative to legacy multi-RTT positioning method.</w:t>
      </w:r>
    </w:p>
    <w:p w:rsidR="00887D3B" w:rsidRDefault="00AE2E2A">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Proposal 5</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TA report with higher granularity can be investigated to improve the location verification performance.</w:t>
      </w:r>
    </w:p>
    <w:p w:rsidR="00887D3B" w:rsidRDefault="00AE2E2A">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b/>
          <w:bCs/>
          <w:sz w:val="28"/>
          <w:szCs w:val="30"/>
          <w:lang w:val="en-US"/>
        </w:rPr>
        <w:t>Procedure</w:t>
      </w:r>
      <w:r>
        <w:rPr>
          <w:rFonts w:ascii="Times New Roman" w:eastAsia="黑体" w:hAnsi="Times New Roman" w:cs="Times New Roman" w:hint="eastAsia"/>
          <w:b/>
          <w:bCs/>
          <w:sz w:val="28"/>
          <w:szCs w:val="30"/>
          <w:lang w:val="en-US"/>
        </w:rPr>
        <w:t xml:space="preserve"> w.r.t location verification</w:t>
      </w:r>
    </w:p>
    <w:p w:rsidR="00887D3B" w:rsidRDefault="00AE2E2A">
      <w:pPr>
        <w:pStyle w:val="af0"/>
        <w:spacing w:beforeLines="50" w:before="120" w:afterLines="50" w:after="120" w:line="240" w:lineRule="auto"/>
        <w:ind w:leftChars="200" w:left="440" w:firstLineChars="0" w:firstLine="0"/>
        <w:jc w:val="both"/>
        <w:rPr>
          <w:rFonts w:ascii="Times New Roman" w:hAnsi="Times New Roman" w:cs="Times New Roman"/>
          <w:sz w:val="20"/>
          <w:szCs w:val="20"/>
        </w:rPr>
      </w:pPr>
      <w:r>
        <w:rPr>
          <w:rFonts w:ascii="Times New Roman" w:eastAsia="宋体" w:hAnsi="Times New Roman" w:cs="Times New Roman" w:hint="eastAsia"/>
          <w:sz w:val="20"/>
          <w:szCs w:val="20"/>
        </w:rPr>
        <w:t xml:space="preserve">For </w:t>
      </w:r>
      <w:r>
        <w:rPr>
          <w:rFonts w:ascii="Times New Roman" w:eastAsia="宋体" w:hAnsi="Times New Roman" w:cs="Times New Roman"/>
          <w:sz w:val="20"/>
          <w:szCs w:val="20"/>
        </w:rPr>
        <w:t>the timing measurement based</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positioning</w:t>
      </w:r>
      <w:r>
        <w:rPr>
          <w:rFonts w:ascii="Times New Roman" w:eastAsia="宋体" w:hAnsi="Times New Roman" w:cs="Times New Roman" w:hint="eastAsia"/>
          <w:sz w:val="20"/>
          <w:szCs w:val="20"/>
        </w:rPr>
        <w:t xml:space="preserve"> method, since LMF is involved in positioning, the </w:t>
      </w:r>
      <w:r>
        <w:rPr>
          <w:rFonts w:ascii="Times New Roman" w:eastAsia="宋体" w:hAnsi="Times New Roman" w:cs="Times New Roman"/>
          <w:sz w:val="20"/>
          <w:szCs w:val="20"/>
        </w:rPr>
        <w:t xml:space="preserve">location </w:t>
      </w:r>
      <w:r>
        <w:rPr>
          <w:rFonts w:ascii="Times New Roman" w:eastAsia="宋体" w:hAnsi="Times New Roman" w:cs="Times New Roman" w:hint="eastAsia"/>
          <w:sz w:val="20"/>
          <w:szCs w:val="20"/>
        </w:rPr>
        <w:t>verification should be performed after initial access.</w:t>
      </w:r>
      <w:r>
        <w:rPr>
          <w:rFonts w:ascii="Times New Roman" w:eastAsia="宋体" w:hAnsi="Times New Roman" w:cs="Times New Roman"/>
          <w:sz w:val="20"/>
          <w:szCs w:val="20"/>
        </w:rPr>
        <w:t xml:space="preserve"> T</w:t>
      </w:r>
      <w:r>
        <w:rPr>
          <w:rFonts w:ascii="Times New Roman" w:eastAsia="宋体" w:hAnsi="Times New Roman" w:cs="Times New Roman" w:hint="eastAsia"/>
          <w:sz w:val="20"/>
          <w:szCs w:val="20"/>
        </w:rPr>
        <w:t>he network should configure the positioning resources</w:t>
      </w:r>
      <w:r>
        <w:rPr>
          <w:rFonts w:ascii="Times New Roman" w:eastAsia="宋体" w:hAnsi="Times New Roman" w:cs="Times New Roman"/>
          <w:sz w:val="20"/>
          <w:szCs w:val="20"/>
        </w:rPr>
        <w:t xml:space="preserve"> before performing positioning</w:t>
      </w:r>
      <w:r>
        <w:rPr>
          <w:rFonts w:ascii="Times New Roman" w:eastAsia="宋体" w:hAnsi="Times New Roman" w:cs="Times New Roman" w:hint="eastAsia"/>
          <w:sz w:val="20"/>
          <w:szCs w:val="20"/>
        </w:rPr>
        <w:t xml:space="preserve">. Compared to legacy </w:t>
      </w:r>
      <w:r>
        <w:rPr>
          <w:rFonts w:ascii="Times New Roman" w:eastAsia="宋体" w:hAnsi="Times New Roman" w:cs="Times New Roman"/>
          <w:sz w:val="20"/>
          <w:szCs w:val="20"/>
        </w:rPr>
        <w:t>TN</w:t>
      </w:r>
      <w:r>
        <w:rPr>
          <w:rFonts w:ascii="Times New Roman" w:eastAsia="宋体" w:hAnsi="Times New Roman" w:cs="Times New Roman" w:hint="eastAsia"/>
          <w:sz w:val="20"/>
          <w:szCs w:val="20"/>
        </w:rPr>
        <w:t xml:space="preserve"> positioning, network can also configure the period of RTT</w:t>
      </w:r>
      <w:r>
        <w:rPr>
          <w:rFonts w:ascii="Times New Roman" w:eastAsia="宋体" w:hAnsi="Times New Roman" w:cs="Times New Roman"/>
          <w:sz w:val="20"/>
          <w:szCs w:val="20"/>
        </w:rPr>
        <w:t>/TDOA</w:t>
      </w:r>
      <w:r>
        <w:rPr>
          <w:rFonts w:ascii="Times New Roman" w:eastAsia="宋体" w:hAnsi="Times New Roman" w:cs="Times New Roman" w:hint="eastAsia"/>
          <w:sz w:val="20"/>
          <w:szCs w:val="20"/>
        </w:rPr>
        <w:t xml:space="preserve"> measurement</w:t>
      </w:r>
      <w:r>
        <w:rPr>
          <w:rFonts w:ascii="Times New Roman" w:eastAsia="宋体" w:hAnsi="Times New Roman" w:cs="Times New Roman"/>
          <w:sz w:val="20"/>
          <w:szCs w:val="20"/>
        </w:rPr>
        <w:t xml:space="preserve"> for single satellite positioning case</w:t>
      </w:r>
      <w:r>
        <w:rPr>
          <w:rFonts w:ascii="Times New Roman" w:eastAsia="宋体" w:hAnsi="Times New Roman" w:cs="Times New Roman" w:hint="eastAsia"/>
          <w:sz w:val="20"/>
          <w:szCs w:val="20"/>
        </w:rPr>
        <w:t xml:space="preserve">. After triggering of measurement, UE and network periodically measure the DL-PRS and UL-SRS according to the configured positioning resources. </w:t>
      </w:r>
      <w:r>
        <w:rPr>
          <w:rFonts w:ascii="Times New Roman" w:eastAsia="宋体" w:hAnsi="Times New Roman" w:cs="Times New Roman"/>
          <w:sz w:val="20"/>
          <w:szCs w:val="20"/>
        </w:rPr>
        <w:t xml:space="preserve">Then, </w:t>
      </w:r>
      <w:r>
        <w:rPr>
          <w:rFonts w:ascii="Times New Roman" w:eastAsia="宋体" w:hAnsi="Times New Roman" w:cs="Times New Roman" w:hint="eastAsia"/>
          <w:sz w:val="20"/>
          <w:szCs w:val="20"/>
        </w:rPr>
        <w:t xml:space="preserve">UE may report the Rx-Tx time difference </w:t>
      </w:r>
      <w:r>
        <w:rPr>
          <w:rFonts w:ascii="Times New Roman" w:eastAsia="宋体" w:hAnsi="Times New Roman" w:cs="Times New Roman"/>
          <w:sz w:val="20"/>
          <w:szCs w:val="20"/>
        </w:rPr>
        <w:t xml:space="preserve">or Rx TOA </w:t>
      </w:r>
      <w:r>
        <w:rPr>
          <w:rFonts w:ascii="Times New Roman" w:eastAsia="宋体" w:hAnsi="Times New Roman" w:cs="Times New Roman" w:hint="eastAsia"/>
          <w:sz w:val="20"/>
          <w:szCs w:val="20"/>
        </w:rPr>
        <w:t>every time after measurement or in one shot after all the measurements. After the measurements, network determine the RTTs</w:t>
      </w:r>
      <w:r>
        <w:rPr>
          <w:rFonts w:ascii="Times New Roman" w:eastAsia="宋体" w:hAnsi="Times New Roman" w:cs="Times New Roman"/>
          <w:sz w:val="20"/>
          <w:szCs w:val="20"/>
        </w:rPr>
        <w:t xml:space="preserve"> or TDOAs</w:t>
      </w:r>
      <w:r>
        <w:rPr>
          <w:rFonts w:ascii="Times New Roman" w:eastAsia="宋体" w:hAnsi="Times New Roman" w:cs="Times New Roman" w:hint="eastAsia"/>
          <w:sz w:val="20"/>
          <w:szCs w:val="20"/>
        </w:rPr>
        <w:t xml:space="preserve"> and calculate UE position. Finally, UE location is verified based on calculated UE position. </w:t>
      </w:r>
      <w:r>
        <w:rPr>
          <w:rFonts w:ascii="Times New Roman" w:eastAsia="宋体" w:hAnsi="Times New Roman" w:cs="Times New Roman"/>
          <w:sz w:val="20"/>
          <w:szCs w:val="20"/>
        </w:rPr>
        <w:t>I</w:t>
      </w:r>
      <w:r>
        <w:rPr>
          <w:rFonts w:ascii="Times New Roman" w:eastAsia="宋体" w:hAnsi="Times New Roman" w:cs="Times New Roman" w:hint="eastAsia"/>
          <w:sz w:val="20"/>
          <w:szCs w:val="20"/>
        </w:rPr>
        <w:t>f UE location verification is failed, CN or BS will release the connection with the UE.</w:t>
      </w:r>
    </w:p>
    <w:p w:rsidR="00887D3B" w:rsidRDefault="00AE2E2A">
      <w:pPr>
        <w:pStyle w:val="af0"/>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However, since the</w:t>
      </w:r>
      <w:r>
        <w:rPr>
          <w:rFonts w:ascii="Times New Roman" w:eastAsia="宋体" w:hAnsi="Times New Roman" w:cs="Times New Roman"/>
          <w:sz w:val="20"/>
          <w:szCs w:val="20"/>
        </w:rPr>
        <w:t xml:space="preserve"> periodic report in</w:t>
      </w:r>
      <w:r>
        <w:rPr>
          <w:rFonts w:ascii="Times New Roman" w:eastAsia="宋体" w:hAnsi="Times New Roman" w:cs="Times New Roman" w:hint="eastAsia"/>
          <w:sz w:val="20"/>
          <w:szCs w:val="20"/>
        </w:rPr>
        <w:t xml:space="preserve"> single-satellite positioning will cost long time, location verification is not expected to be performed too frequently, e.g., every time when UE accesses the network. In order to reduce the frequency of location verification, a reliability flag can be assigned to the UE which has been verified. If the UE has passed location verification, network can assign a flag indicating the UE is reliable. Otherwise, network can assign a flag indicating the UE is not reliable. The flag will be valid for a period of time. </w:t>
      </w:r>
    </w:p>
    <w:p w:rsidR="00887D3B" w:rsidRDefault="00AE2E2A">
      <w:pPr>
        <w:pStyle w:val="af0"/>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 xml:space="preserve">When a UE is trying to access a network, the access will be directly rejected by network if it is assigned with </w:t>
      </w:r>
      <w:r>
        <w:rPr>
          <w:rFonts w:ascii="Times New Roman" w:eastAsia="宋体" w:hAnsi="Times New Roman" w:cs="Times New Roman"/>
          <w:sz w:val="20"/>
          <w:szCs w:val="20"/>
        </w:rPr>
        <w:t>an</w:t>
      </w:r>
      <w:r>
        <w:rPr>
          <w:rFonts w:ascii="Times New Roman" w:eastAsia="宋体" w:hAnsi="Times New Roman" w:cs="Times New Roman" w:hint="eastAsia"/>
          <w:sz w:val="20"/>
          <w:szCs w:val="20"/>
        </w:rPr>
        <w:t xml:space="preserve"> unreliable flag. If the UE is assigned with a reliable flag, the access will directly be accepted by network without verification. With this method, location verification can be performed only once when the reliability flag is valid.</w:t>
      </w:r>
    </w:p>
    <w:p w:rsidR="00887D3B" w:rsidRDefault="00AE2E2A">
      <w:pPr>
        <w:spacing w:after="120"/>
        <w:ind w:left="420"/>
        <w:rPr>
          <w:rFonts w:ascii="Times New Roman" w:hAnsi="Times New Roman" w:cs="Times New Roman"/>
          <w:i/>
          <w:sz w:val="20"/>
          <w:szCs w:val="20"/>
        </w:rPr>
      </w:pPr>
      <w:r>
        <w:rPr>
          <w:rFonts w:ascii="Times New Roman" w:hAnsi="Times New Roman" w:cs="Times New Roman" w:hint="eastAsia"/>
          <w:b/>
          <w:i/>
          <w:sz w:val="20"/>
          <w:szCs w:val="20"/>
        </w:rPr>
        <w:t>Proposal 6</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UE can be assigned with reliability flag based on verification result to reduce the frequency of location verification</w:t>
      </w:r>
      <w:r>
        <w:rPr>
          <w:rFonts w:ascii="Times New Roman" w:eastAsia="宋体" w:hAnsi="Times New Roman" w:cs="Times New Roman" w:hint="eastAsia"/>
          <w:i/>
          <w:sz w:val="20"/>
          <w:szCs w:val="20"/>
        </w:rPr>
        <w:t xml:space="preserve">. </w:t>
      </w:r>
    </w:p>
    <w:p w:rsidR="00887D3B" w:rsidRDefault="00AE2E2A">
      <w:pPr>
        <w:spacing w:after="120"/>
        <w:ind w:left="420"/>
        <w:rPr>
          <w:rFonts w:ascii="Times New Roman" w:eastAsia="宋体" w:hAnsi="Times New Roman" w:cs="Times New Roman"/>
          <w:sz w:val="20"/>
          <w:szCs w:val="20"/>
        </w:rPr>
      </w:pPr>
      <w:r>
        <w:rPr>
          <w:rFonts w:ascii="Times New Roman" w:hAnsi="Times New Roman" w:cs="Times New Roman" w:hint="eastAsia"/>
          <w:b/>
          <w:i/>
          <w:sz w:val="20"/>
          <w:szCs w:val="20"/>
        </w:rPr>
        <w:t>Proposal 7</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Network will reject access from UE assigned with unreliable flag and accept access from UE assigned with reliable flag without location verification</w:t>
      </w:r>
      <w:r>
        <w:rPr>
          <w:rFonts w:ascii="Times New Roman" w:eastAsia="宋体" w:hAnsi="Times New Roman" w:cs="Times New Roman" w:hint="eastAsia"/>
          <w:i/>
          <w:sz w:val="20"/>
          <w:szCs w:val="20"/>
        </w:rPr>
        <w:t xml:space="preserve">. </w:t>
      </w:r>
    </w:p>
    <w:p w:rsidR="00887D3B" w:rsidRDefault="00AE2E2A">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887D3B" w:rsidRDefault="00AE2E2A">
      <w:pPr>
        <w:pStyle w:val="af0"/>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In this contribution, analysis on network verified UE location for NR-NTN is conducted with following proposals and observations:</w:t>
      </w:r>
    </w:p>
    <w:p w:rsidR="00BE6485" w:rsidRDefault="00BE6485" w:rsidP="00BE6485">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Observation 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UE height reported by UE may not be trustable (e.g., similar concern as GNSS) and available before completion of location verification.</w:t>
      </w:r>
    </w:p>
    <w:p w:rsidR="00887D3B" w:rsidRDefault="00AE2E2A">
      <w:pPr>
        <w:spacing w:beforeLines="50" w:before="120" w:after="120" w:line="240" w:lineRule="auto"/>
        <w:ind w:left="420"/>
        <w:rPr>
          <w:rFonts w:ascii="Times New Roman"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2:</w:t>
      </w:r>
      <w:r>
        <w:rPr>
          <w:rFonts w:ascii="Times New Roman" w:hAnsi="Times New Roman" w:cs="Times New Roman"/>
          <w:i/>
          <w:sz w:val="20"/>
          <w:szCs w:val="20"/>
        </w:rPr>
        <w:t xml:space="preserve"> </w:t>
      </w:r>
      <w:r>
        <w:rPr>
          <w:rFonts w:ascii="Times New Roman" w:hAnsi="Times New Roman" w:cs="Times New Roman" w:hint="eastAsia"/>
          <w:i/>
          <w:sz w:val="20"/>
          <w:szCs w:val="20"/>
        </w:rPr>
        <w:t xml:space="preserve">The </w:t>
      </w:r>
      <w:r>
        <w:rPr>
          <w:rFonts w:ascii="Times New Roman" w:hAnsi="Times New Roman" w:cs="Times New Roman"/>
          <w:i/>
          <w:sz w:val="20"/>
          <w:szCs w:val="20"/>
        </w:rPr>
        <w:t>timing measurement error of SRS and PRS can be smaller than 24ns and 6ns respectively with 95% probability under 30 degree elevation angle for LEO-600 set-1, rural LOS S-band scenario.</w:t>
      </w:r>
    </w:p>
    <w:p w:rsidR="00887D3B" w:rsidRDefault="00AE2E2A">
      <w:pPr>
        <w:spacing w:beforeLines="50" w:before="120" w:after="120" w:line="240" w:lineRule="auto"/>
        <w:ind w:left="420"/>
        <w:rPr>
          <w:rFonts w:ascii="Times New Roman" w:hAnsi="Times New Roman" w:cs="Times New Roman"/>
          <w:i/>
          <w:sz w:val="20"/>
          <w:szCs w:val="20"/>
        </w:rPr>
      </w:pPr>
      <w:r>
        <w:rPr>
          <w:rFonts w:ascii="Times New Roman" w:hAnsi="Times New Roman" w:cs="Times New Roman" w:hint="eastAsia"/>
          <w:b/>
          <w:i/>
          <w:sz w:val="20"/>
          <w:szCs w:val="20"/>
        </w:rPr>
        <w:t xml:space="preserve">Observation </w:t>
      </w:r>
      <w:r>
        <w:rPr>
          <w:rFonts w:ascii="Times New Roman" w:hAnsi="Times New Roman" w:cs="Times New Roman"/>
          <w:b/>
          <w:i/>
          <w:sz w:val="20"/>
          <w:szCs w:val="20"/>
        </w:rPr>
        <w:t>3:</w:t>
      </w:r>
      <w:r>
        <w:rPr>
          <w:rFonts w:ascii="Times New Roman" w:hAnsi="Times New Roman" w:cs="Times New Roman"/>
          <w:i/>
          <w:sz w:val="20"/>
          <w:szCs w:val="20"/>
        </w:rPr>
        <w:t xml:space="preserve"> Multi-RTT has better performance than UL/DL-TDOA method.</w:t>
      </w:r>
    </w:p>
    <w:p w:rsidR="00887D3B" w:rsidRDefault="00AE2E2A">
      <w:pPr>
        <w:spacing w:after="120"/>
        <w:ind w:left="420"/>
        <w:rPr>
          <w:rFonts w:ascii="Times New Roman" w:hAnsi="Times New Roman" w:cs="Times New Roman"/>
          <w:i/>
          <w:sz w:val="20"/>
          <w:szCs w:val="20"/>
        </w:rPr>
      </w:pPr>
      <w:r>
        <w:rPr>
          <w:rFonts w:ascii="Times New Roman" w:hAnsi="Times New Roman" w:cs="Times New Roman"/>
          <w:b/>
          <w:i/>
          <w:sz w:val="20"/>
          <w:szCs w:val="20"/>
        </w:rPr>
        <w:t xml:space="preserve">Observation 4: </w:t>
      </w:r>
      <w:r>
        <w:rPr>
          <w:rFonts w:ascii="Times New Roman" w:hAnsi="Times New Roman" w:cs="Times New Roman"/>
          <w:bCs/>
          <w:i/>
          <w:sz w:val="20"/>
          <w:szCs w:val="20"/>
        </w:rPr>
        <w:t>When the ambiguity of single satellite positioning is not considered or can be resolved by other methods, and the measurement period is equal to or larger than 30s, the positioning error of multi-RTT method can be smaller than 10km with over 95% probability for LEO-600 set-1, rural LOS, S-band scenario</w:t>
      </w:r>
      <w:r>
        <w:rPr>
          <w:rFonts w:ascii="Times New Roman" w:hAnsi="Times New Roman" w:cs="Times New Roman" w:hint="eastAsia"/>
          <w:bCs/>
          <w:i/>
          <w:sz w:val="20"/>
          <w:szCs w:val="20"/>
        </w:rPr>
        <w:t>.</w:t>
      </w:r>
    </w:p>
    <w:p w:rsidR="00887D3B" w:rsidRDefault="00AE2E2A">
      <w:pPr>
        <w:spacing w:after="120"/>
        <w:ind w:left="420"/>
        <w:rPr>
          <w:rFonts w:ascii="Times New Roman" w:hAnsi="Times New Roman" w:cs="Times New Roman"/>
          <w:bCs/>
          <w:i/>
          <w:sz w:val="20"/>
          <w:szCs w:val="20"/>
        </w:rPr>
      </w:pPr>
      <w:r>
        <w:rPr>
          <w:rFonts w:ascii="Times New Roman" w:hAnsi="Times New Roman" w:cs="Times New Roman"/>
          <w:b/>
          <w:i/>
          <w:sz w:val="20"/>
          <w:szCs w:val="20"/>
        </w:rPr>
        <w:t xml:space="preserve">Observation 5: </w:t>
      </w:r>
      <w:r>
        <w:rPr>
          <w:rFonts w:ascii="Times New Roman" w:hAnsi="Times New Roman" w:cs="Times New Roman"/>
          <w:bCs/>
          <w:i/>
          <w:sz w:val="20"/>
          <w:szCs w:val="20"/>
        </w:rPr>
        <w:t>When the ambiguity of single satellite positioning is not considered, and the measurement period is equal to 30s, the positioning error of multi-RTT method can be smaller than 10km with over 90% probability for LEO-600 set-1, rural LOS, S-band scenario</w:t>
      </w:r>
      <w:r>
        <w:rPr>
          <w:rFonts w:ascii="Times New Roman" w:hAnsi="Times New Roman" w:cs="Times New Roman" w:hint="eastAsia"/>
          <w:bCs/>
          <w:i/>
          <w:sz w:val="20"/>
          <w:szCs w:val="20"/>
        </w:rPr>
        <w:t>.</w:t>
      </w:r>
    </w:p>
    <w:p w:rsidR="00934F5A" w:rsidRDefault="00934F5A" w:rsidP="00934F5A">
      <w:pPr>
        <w:spacing w:beforeLines="50" w:before="120" w:after="120" w:line="240" w:lineRule="auto"/>
        <w:ind w:left="420"/>
        <w:rPr>
          <w:rFonts w:ascii="Times New Roman" w:hAnsi="Times New Roman" w:cs="Times New Roman"/>
          <w:i/>
          <w:sz w:val="20"/>
          <w:szCs w:val="20"/>
        </w:rPr>
      </w:pPr>
      <w:r>
        <w:rPr>
          <w:rFonts w:ascii="Times New Roman" w:hAnsi="Times New Roman" w:cs="Times New Roman"/>
          <w:b/>
          <w:i/>
          <w:sz w:val="20"/>
          <w:szCs w:val="20"/>
        </w:rPr>
        <w:t xml:space="preserve">Observation </w:t>
      </w:r>
      <w:r>
        <w:rPr>
          <w:rFonts w:ascii="Times New Roman" w:hAnsi="Times New Roman" w:cs="Times New Roman" w:hint="eastAsia"/>
          <w:b/>
          <w:i/>
          <w:sz w:val="20"/>
          <w:szCs w:val="20"/>
        </w:rPr>
        <w:t>6</w:t>
      </w:r>
      <w:r>
        <w:rPr>
          <w:rFonts w:ascii="Times New Roman" w:hAnsi="Times New Roman" w:cs="Times New Roman"/>
          <w:b/>
          <w:i/>
          <w:sz w:val="20"/>
          <w:szCs w:val="20"/>
        </w:rPr>
        <w:t xml:space="preserve">: </w:t>
      </w:r>
      <w:r>
        <w:rPr>
          <w:rFonts w:ascii="Times New Roman" w:hAnsi="Times New Roman" w:cs="Times New Roman" w:hint="eastAsia"/>
          <w:bCs/>
          <w:i/>
          <w:sz w:val="20"/>
          <w:szCs w:val="20"/>
        </w:rPr>
        <w:t>For earth moving beam case, single-satellite based multi-RTT/UL-TDOA/DL-TDOA</w:t>
      </w:r>
      <w:r>
        <w:rPr>
          <w:rFonts w:ascii="Times New Roman" w:hAnsi="Times New Roman" w:cs="Times New Roman"/>
          <w:bCs/>
          <w:i/>
          <w:sz w:val="20"/>
          <w:szCs w:val="20"/>
        </w:rPr>
        <w:t xml:space="preserve"> with angular information at gNB side</w:t>
      </w:r>
      <w:r>
        <w:rPr>
          <w:rFonts w:ascii="Times New Roman" w:hAnsi="Times New Roman" w:cs="Times New Roman" w:hint="eastAsia"/>
          <w:bCs/>
          <w:i/>
          <w:sz w:val="20"/>
          <w:szCs w:val="20"/>
        </w:rPr>
        <w:t xml:space="preserve"> cannot achieve target performance.</w:t>
      </w:r>
    </w:p>
    <w:p w:rsidR="00887D3B" w:rsidRDefault="00AE2E2A">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Observation 7</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TA report supported in Rel-17 NTN can be used for RTT estimation</w:t>
      </w:r>
      <w:r>
        <w:rPr>
          <w:rFonts w:ascii="Times New Roman" w:eastAsia="宋体" w:hAnsi="Times New Roman" w:cs="Times New Roman"/>
          <w:i/>
          <w:sz w:val="20"/>
          <w:szCs w:val="20"/>
        </w:rPr>
        <w:t>.</w:t>
      </w:r>
    </w:p>
    <w:p w:rsidR="00887D3B" w:rsidRDefault="00AE2E2A">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Observation 8</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 xml:space="preserve">TA report </w:t>
      </w:r>
      <w:r>
        <w:rPr>
          <w:rFonts w:ascii="Times New Roman" w:eastAsia="宋体" w:hAnsi="Times New Roman" w:cs="Times New Roman"/>
          <w:i/>
          <w:sz w:val="20"/>
          <w:szCs w:val="20"/>
        </w:rPr>
        <w:t>accuracy is not affected by SNR.</w:t>
      </w:r>
    </w:p>
    <w:p w:rsidR="00887D3B" w:rsidRDefault="00AE2E2A">
      <w:pPr>
        <w:numPr>
          <w:ilvl w:val="7"/>
          <w:numId w:val="0"/>
        </w:numPr>
        <w:spacing w:after="120"/>
        <w:ind w:leftChars="200" w:left="440"/>
        <w:rPr>
          <w:rFonts w:ascii="Times New Roman" w:eastAsia="宋体" w:hAnsi="Times New Roman" w:cs="Times New Roman"/>
          <w:i/>
          <w:sz w:val="20"/>
          <w:szCs w:val="20"/>
        </w:rPr>
      </w:pPr>
      <w:r>
        <w:rPr>
          <w:rFonts w:ascii="Times New Roman" w:hAnsi="Times New Roman" w:cs="Times New Roman" w:hint="eastAsia"/>
          <w:b/>
          <w:i/>
          <w:sz w:val="20"/>
          <w:szCs w:val="20"/>
        </w:rPr>
        <w:t>Observation 9</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 xml:space="preserve">TA </w:t>
      </w:r>
      <w:r>
        <w:rPr>
          <w:rFonts w:ascii="Times New Roman" w:eastAsia="宋体" w:hAnsi="Times New Roman" w:cs="Times New Roman"/>
          <w:i/>
          <w:sz w:val="20"/>
          <w:szCs w:val="20"/>
        </w:rPr>
        <w:t>reported by UE can be considered to have similar reliability as other RAT dependent parameters since it is related to UL synchronization.</w:t>
      </w:r>
    </w:p>
    <w:p w:rsidR="00887D3B" w:rsidRDefault="00AE2E2A">
      <w:pPr>
        <w:spacing w:after="120"/>
        <w:ind w:left="420"/>
        <w:rPr>
          <w:rFonts w:ascii="Times New Roman" w:hAnsi="Times New Roman" w:cs="Times New Roman"/>
          <w:i/>
          <w:sz w:val="20"/>
          <w:szCs w:val="20"/>
        </w:rPr>
      </w:pPr>
      <w:r>
        <w:rPr>
          <w:rFonts w:ascii="Times New Roman" w:hAnsi="Times New Roman" w:cs="Times New Roman" w:hint="eastAsia"/>
          <w:b/>
          <w:i/>
          <w:sz w:val="20"/>
          <w:szCs w:val="20"/>
        </w:rPr>
        <w:t>Proposal 1</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i/>
          <w:sz w:val="20"/>
          <w:szCs w:val="20"/>
        </w:rPr>
        <w:t>3</w:t>
      </w:r>
      <w:r>
        <w:rPr>
          <w:rFonts w:ascii="Times New Roman" w:eastAsia="宋体" w:hAnsi="Times New Roman" w:cs="Times New Roman" w:hint="eastAsia"/>
          <w:i/>
          <w:sz w:val="20"/>
          <w:szCs w:val="20"/>
        </w:rPr>
        <w:t>D</w:t>
      </w:r>
      <w:r>
        <w:rPr>
          <w:rFonts w:ascii="Times New Roman" w:eastAsia="宋体" w:hAnsi="Times New Roman" w:cs="Times New Roman"/>
          <w:i/>
          <w:sz w:val="20"/>
          <w:szCs w:val="20"/>
        </w:rPr>
        <w:t xml:space="preserve"> positioning methods should be applied even if 2D positioning error is the performance metric</w:t>
      </w:r>
      <w:r>
        <w:rPr>
          <w:rFonts w:ascii="Times New Roman" w:eastAsia="宋体" w:hAnsi="Times New Roman" w:cs="Times New Roman" w:hint="eastAsia"/>
          <w:i/>
          <w:sz w:val="20"/>
          <w:szCs w:val="20"/>
        </w:rPr>
        <w:t>.</w:t>
      </w:r>
    </w:p>
    <w:p w:rsidR="00887D3B" w:rsidRDefault="00AE2E2A">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2:</w:t>
      </w:r>
      <w:r>
        <w:rPr>
          <w:rFonts w:ascii="Times New Roman" w:hAnsi="Times New Roman" w:cs="Times New Roman"/>
          <w:i/>
          <w:sz w:val="20"/>
          <w:szCs w:val="20"/>
        </w:rPr>
        <w:t xml:space="preserve"> </w:t>
      </w:r>
      <w:r>
        <w:rPr>
          <w:rFonts w:ascii="Times New Roman" w:hAnsi="Times New Roman" w:cs="Times New Roman" w:hint="eastAsia"/>
          <w:i/>
          <w:sz w:val="20"/>
          <w:szCs w:val="20"/>
        </w:rPr>
        <w:t xml:space="preserve">Single-satellite based </w:t>
      </w:r>
      <w:r>
        <w:rPr>
          <w:rFonts w:ascii="Times New Roman" w:eastAsia="宋体" w:hAnsi="Times New Roman" w:cs="Times New Roman" w:hint="eastAsia"/>
          <w:i/>
          <w:sz w:val="20"/>
          <w:szCs w:val="20"/>
        </w:rPr>
        <w:t>multi-RTT positioning method can be used for UE location verification</w:t>
      </w:r>
      <w:r>
        <w:rPr>
          <w:rFonts w:ascii="Times New Roman" w:eastAsia="宋体" w:hAnsi="Times New Roman" w:cs="Times New Roman"/>
          <w:i/>
          <w:sz w:val="20"/>
          <w:szCs w:val="20"/>
        </w:rPr>
        <w:t xml:space="preserve"> for LEO</w:t>
      </w:r>
      <w:r>
        <w:rPr>
          <w:rFonts w:ascii="Times New Roman" w:eastAsia="宋体" w:hAnsi="Times New Roman" w:cs="Times New Roman" w:hint="eastAsia"/>
          <w:i/>
          <w:sz w:val="20"/>
          <w:szCs w:val="20"/>
        </w:rPr>
        <w:t>.</w:t>
      </w:r>
    </w:p>
    <w:p w:rsidR="00887D3B" w:rsidRDefault="00AE2E2A">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Proposal 3</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The earth moving beam case is deprioritized for single satellite based location verification</w:t>
      </w:r>
      <w:r>
        <w:rPr>
          <w:rFonts w:ascii="Times New Roman" w:eastAsia="宋体" w:hAnsi="Times New Roman" w:cs="Times New Roman" w:hint="eastAsia"/>
          <w:i/>
          <w:sz w:val="20"/>
          <w:szCs w:val="20"/>
        </w:rPr>
        <w:t xml:space="preserve">. </w:t>
      </w:r>
    </w:p>
    <w:p w:rsidR="00887D3B" w:rsidRDefault="00AE2E2A">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Proposal 4</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eastAsia="宋体" w:hAnsi="Times New Roman" w:cs="Times New Roman" w:hint="eastAsia"/>
          <w:i/>
          <w:sz w:val="20"/>
          <w:szCs w:val="20"/>
        </w:rPr>
        <w:t>TA report based location verification method can be investigated as alternative to legacy multi-RTT positioning method.</w:t>
      </w:r>
    </w:p>
    <w:p w:rsidR="00887D3B" w:rsidRDefault="00AE2E2A">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Proposal 5</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TA report with higher granularity can be investigated to improve the location verification performance.</w:t>
      </w:r>
    </w:p>
    <w:p w:rsidR="00887D3B" w:rsidRDefault="00AE2E2A">
      <w:pPr>
        <w:spacing w:after="120"/>
        <w:ind w:left="420"/>
        <w:rPr>
          <w:rFonts w:ascii="Times New Roman" w:hAnsi="Times New Roman" w:cs="Times New Roman"/>
          <w:i/>
          <w:sz w:val="20"/>
          <w:szCs w:val="20"/>
        </w:rPr>
      </w:pPr>
      <w:r>
        <w:rPr>
          <w:rFonts w:ascii="Times New Roman" w:hAnsi="Times New Roman" w:cs="Times New Roman" w:hint="eastAsia"/>
          <w:b/>
          <w:i/>
          <w:sz w:val="20"/>
          <w:szCs w:val="20"/>
        </w:rPr>
        <w:t>Proposal 6</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UE can be assigned with reliability flag based on verification result to reduce the frequency of location verification</w:t>
      </w:r>
      <w:r>
        <w:rPr>
          <w:rFonts w:ascii="Times New Roman" w:eastAsia="宋体" w:hAnsi="Times New Roman" w:cs="Times New Roman" w:hint="eastAsia"/>
          <w:i/>
          <w:sz w:val="20"/>
          <w:szCs w:val="20"/>
        </w:rPr>
        <w:t xml:space="preserve">. </w:t>
      </w:r>
    </w:p>
    <w:p w:rsidR="00887D3B" w:rsidRDefault="00AE2E2A">
      <w:pPr>
        <w:spacing w:after="120"/>
        <w:ind w:left="420"/>
        <w:rPr>
          <w:rFonts w:ascii="Times New Roman" w:eastAsia="宋体" w:hAnsi="Times New Roman" w:cs="Times New Roman"/>
          <w:i/>
          <w:sz w:val="20"/>
          <w:szCs w:val="20"/>
        </w:rPr>
      </w:pPr>
      <w:r>
        <w:rPr>
          <w:rFonts w:ascii="Times New Roman" w:hAnsi="Times New Roman" w:cs="Times New Roman" w:hint="eastAsia"/>
          <w:b/>
          <w:i/>
          <w:sz w:val="20"/>
          <w:szCs w:val="20"/>
        </w:rPr>
        <w:t>Proposal 7</w:t>
      </w:r>
      <w:r>
        <w:rPr>
          <w:rFonts w:ascii="Times New Roman" w:hAnsi="Times New Roman" w:cs="Times New Roman"/>
          <w:b/>
          <w:i/>
          <w:sz w:val="20"/>
          <w:szCs w:val="20"/>
        </w:rPr>
        <w:t>:</w:t>
      </w:r>
      <w:r>
        <w:rPr>
          <w:rFonts w:ascii="Times New Roman" w:hAnsi="Times New Roman" w:cs="Times New Roman"/>
          <w:i/>
          <w:sz w:val="20"/>
          <w:szCs w:val="20"/>
        </w:rPr>
        <w:t xml:space="preserve"> </w:t>
      </w:r>
      <w:r>
        <w:rPr>
          <w:rFonts w:ascii="Times New Roman" w:hAnsi="Times New Roman" w:cs="Times New Roman" w:hint="eastAsia"/>
          <w:i/>
          <w:sz w:val="20"/>
          <w:szCs w:val="20"/>
        </w:rPr>
        <w:t>Network will reject access from UE assigned with unreliable flag and accept access from UE assigned with reliable flag without location verification</w:t>
      </w:r>
      <w:r>
        <w:rPr>
          <w:rFonts w:ascii="Times New Roman" w:eastAsia="宋体" w:hAnsi="Times New Roman" w:cs="Times New Roman" w:hint="eastAsia"/>
          <w:i/>
          <w:sz w:val="20"/>
          <w:szCs w:val="20"/>
        </w:rPr>
        <w:t>.</w:t>
      </w:r>
    </w:p>
    <w:p w:rsidR="00887D3B" w:rsidRDefault="00AE2E2A">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887D3B" w:rsidRDefault="00AE2E2A">
      <w:pPr>
        <w:pStyle w:val="ListParagraph1"/>
        <w:numPr>
          <w:ilvl w:val="0"/>
          <w:numId w:val="8"/>
        </w:numPr>
        <w:spacing w:after="0" w:line="240" w:lineRule="auto"/>
        <w:ind w:left="505" w:hanging="505"/>
        <w:rPr>
          <w:rFonts w:ascii="Times New Roman" w:hAnsi="Times New Roman"/>
          <w:sz w:val="20"/>
          <w:szCs w:val="20"/>
        </w:rPr>
      </w:pPr>
      <w:bookmarkStart w:id="14" w:name="_Ref32552"/>
      <w:r>
        <w:rPr>
          <w:rFonts w:ascii="Times New Roman" w:hAnsi="Times New Roman" w:hint="eastAsia"/>
          <w:sz w:val="20"/>
          <w:szCs w:val="20"/>
        </w:rPr>
        <w:t>R</w:t>
      </w:r>
      <w:bookmarkEnd w:id="14"/>
      <w:r>
        <w:rPr>
          <w:rFonts w:ascii="Times New Roman" w:hAnsi="Times New Roman"/>
          <w:sz w:val="20"/>
          <w:szCs w:val="20"/>
        </w:rPr>
        <w:t>1-2207631, FL Summary #4: Network verified UE location for NR NTN, RAN1#110</w:t>
      </w:r>
    </w:p>
    <w:p w:rsidR="00887D3B" w:rsidRDefault="00AE2E2A">
      <w:pPr>
        <w:pStyle w:val="1"/>
        <w:numPr>
          <w:ilvl w:val="0"/>
          <w:numId w:val="0"/>
        </w:numPr>
        <w:rPr>
          <w:szCs w:val="22"/>
        </w:rPr>
      </w:pPr>
      <w:bookmarkStart w:id="15" w:name="_Ref11596"/>
      <w:r>
        <w:rPr>
          <w:szCs w:val="22"/>
        </w:rPr>
        <w:lastRenderedPageBreak/>
        <w:t>Appendix</w:t>
      </w:r>
      <w:bookmarkEnd w:id="15"/>
    </w:p>
    <w:p w:rsidR="00887D3B" w:rsidRPr="00B50C71" w:rsidRDefault="00AE2E2A" w:rsidP="00C76E4B">
      <w:pPr>
        <w:pStyle w:val="a3"/>
        <w:numPr>
          <w:ilvl w:val="7"/>
          <w:numId w:val="0"/>
        </w:numPr>
        <w:ind w:leftChars="200" w:left="440"/>
        <w:rPr>
          <w:b w:val="0"/>
          <w:bCs w:val="0"/>
        </w:rPr>
      </w:pPr>
      <w:bookmarkStart w:id="16" w:name="_Ref115032974"/>
      <w:r w:rsidRPr="00B50C71">
        <w:rPr>
          <w:b w:val="0"/>
          <w:bCs w:val="0"/>
        </w:rPr>
        <w:t xml:space="preserve">Table </w:t>
      </w:r>
      <w:r w:rsidRPr="00B50C71">
        <w:rPr>
          <w:b w:val="0"/>
          <w:bCs w:val="0"/>
        </w:rPr>
        <w:fldChar w:fldCharType="begin"/>
      </w:r>
      <w:r w:rsidRPr="00B50C71">
        <w:rPr>
          <w:b w:val="0"/>
          <w:bCs w:val="0"/>
        </w:rPr>
        <w:instrText xml:space="preserve"> SEQ Table \* ARABIC </w:instrText>
      </w:r>
      <w:r w:rsidRPr="00B50C71">
        <w:rPr>
          <w:b w:val="0"/>
          <w:bCs w:val="0"/>
        </w:rPr>
        <w:fldChar w:fldCharType="separate"/>
      </w:r>
      <w:r w:rsidRPr="00B50C71">
        <w:rPr>
          <w:b w:val="0"/>
          <w:bCs w:val="0"/>
        </w:rPr>
        <w:t>10</w:t>
      </w:r>
      <w:r w:rsidRPr="00B50C71">
        <w:rPr>
          <w:b w:val="0"/>
          <w:bCs w:val="0"/>
        </w:rPr>
        <w:fldChar w:fldCharType="end"/>
      </w:r>
      <w:bookmarkEnd w:id="16"/>
      <w:r w:rsidRPr="00B50C71">
        <w:rPr>
          <w:b w:val="0"/>
          <w:bCs w:val="0"/>
        </w:rPr>
        <w:t xml:space="preserve"> Parameters for evaluation</w:t>
      </w:r>
    </w:p>
    <w:tbl>
      <w:tblPr>
        <w:tblW w:w="5000" w:type="pct"/>
        <w:tblInd w:w="440" w:type="dxa"/>
        <w:tblCellMar>
          <w:left w:w="0" w:type="dxa"/>
          <w:right w:w="0" w:type="dxa"/>
        </w:tblCellMar>
        <w:tblLook w:val="04A0" w:firstRow="1" w:lastRow="0" w:firstColumn="1" w:lastColumn="0" w:noHBand="0" w:noVBand="1"/>
      </w:tblPr>
      <w:tblGrid>
        <w:gridCol w:w="4343"/>
        <w:gridCol w:w="4997"/>
      </w:tblGrid>
      <w:tr w:rsidR="00887D3B">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tcPr>
          <w:p w:rsidR="00887D3B" w:rsidRDefault="00AE2E2A">
            <w:pPr>
              <w:pStyle w:val="xmsonormal0"/>
              <w:rPr>
                <w:rFonts w:cs="Times New Roman"/>
                <w:color w:val="FFFFFF" w:themeColor="background1"/>
                <w:szCs w:val="20"/>
              </w:rPr>
            </w:pPr>
            <w:r>
              <w:rPr>
                <w:rStyle w:val="ad"/>
                <w:rFonts w:cs="Times New Roman"/>
                <w:color w:val="FFFFFF" w:themeColor="background1"/>
                <w:szCs w:val="20"/>
              </w:rPr>
              <w:t>Parameter</w:t>
            </w:r>
          </w:p>
        </w:tc>
        <w:tc>
          <w:tcPr>
            <w:tcW w:w="2674"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tcPr>
          <w:p w:rsidR="00887D3B" w:rsidRDefault="00AE2E2A">
            <w:pPr>
              <w:pStyle w:val="xmsonormal0"/>
              <w:rPr>
                <w:rFonts w:cs="Times New Roman"/>
                <w:color w:val="FFFFFF" w:themeColor="background1"/>
                <w:szCs w:val="20"/>
              </w:rPr>
            </w:pPr>
            <w:r>
              <w:rPr>
                <w:rStyle w:val="ad"/>
                <w:rFonts w:cs="Times New Roman"/>
                <w:color w:val="FFFFFF" w:themeColor="background1"/>
                <w:szCs w:val="20"/>
              </w:rPr>
              <w:t>Description/Value</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 xml:space="preserve">Scenarios </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Rural, LOS</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Satellite Orbit</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600km</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Satellite parameters</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 xml:space="preserve">Reuse Set-1satellite parameters as in table 6.1.1.1-1/2 of TR38.821 </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Channel model/ Delay spread</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Based on section 6.7.2 of TR 38.811</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FR/Carrier frequency</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FR1: 2GHz, S-band (n256)</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BW</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10M for both UL and DL</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Subcarrier spacing, kHz</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lang w:val="da-DK"/>
              </w:rPr>
              <w:t>15 for FR1</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Number of satellite in view</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1</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Orbit inclination</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0</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UE type</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Handheld terminal</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UE related parameters</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Handheld UE characteristics as in Table 6.1.1.1-3 of TR38.821 with update of polarization, Tx/Rx antenna gain, and antenna type and configuration as agreed under AI 9.12.1</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Positioning signals (Note 1)</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SRS for UL, PRS for DL</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Reference Signal Physical Structure and Resource Allocation (RE pattern)</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SRS: comb-2</w:t>
            </w:r>
          </w:p>
          <w:p w:rsidR="00887D3B" w:rsidRDefault="00AE2E2A">
            <w:pPr>
              <w:pStyle w:val="xmsonormal0"/>
              <w:rPr>
                <w:rFonts w:eastAsiaTheme="minorEastAsia" w:cs="Times New Roman"/>
                <w:szCs w:val="20"/>
                <w:lang w:eastAsia="zh-CN"/>
              </w:rPr>
            </w:pPr>
            <w:r>
              <w:rPr>
                <w:rFonts w:eastAsiaTheme="minorEastAsia" w:cs="Times New Roman" w:hint="eastAsia"/>
                <w:szCs w:val="20"/>
                <w:lang w:eastAsia="zh-CN"/>
              </w:rPr>
              <w:t>P</w:t>
            </w:r>
            <w:r>
              <w:rPr>
                <w:rFonts w:eastAsiaTheme="minorEastAsia" w:cs="Times New Roman"/>
                <w:szCs w:val="20"/>
                <w:lang w:eastAsia="zh-CN"/>
              </w:rPr>
              <w:t>RS: comb-2</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Number of symbols used per occasion</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SRS: 12 OS</w:t>
            </w:r>
          </w:p>
          <w:p w:rsidR="00887D3B" w:rsidRDefault="00AE2E2A">
            <w:pPr>
              <w:pStyle w:val="xmsonormal0"/>
              <w:rPr>
                <w:rFonts w:eastAsiaTheme="minorEastAsia" w:cs="Times New Roman"/>
                <w:szCs w:val="20"/>
                <w:lang w:eastAsia="zh-CN"/>
              </w:rPr>
            </w:pPr>
            <w:r>
              <w:rPr>
                <w:rFonts w:eastAsiaTheme="minorEastAsia" w:cs="Times New Roman" w:hint="eastAsia"/>
                <w:szCs w:val="20"/>
                <w:lang w:eastAsia="zh-CN"/>
              </w:rPr>
              <w:t>P</w:t>
            </w:r>
            <w:r>
              <w:rPr>
                <w:rFonts w:eastAsiaTheme="minorEastAsia" w:cs="Times New Roman"/>
                <w:szCs w:val="20"/>
                <w:lang w:eastAsia="zh-CN"/>
              </w:rPr>
              <w:t>RS: 2 OS</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number of occasions used per positioning estimate</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4</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Time window for measurement collection</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kern w:val="2"/>
                <w:lang w:eastAsia="zh-CN"/>
              </w:rPr>
            </w:pPr>
            <w:bookmarkStart w:id="17" w:name="_Hlk115084136"/>
            <w:r>
              <w:rPr>
                <w:rFonts w:cs="Times New Roman"/>
                <w:kern w:val="2"/>
                <w:lang w:val="de-DE" w:eastAsia="zh-CN"/>
              </w:rPr>
              <w:t xml:space="preserve">t0, t0+ </w:t>
            </w:r>
            <w:r>
              <w:rPr>
                <w:rFonts w:cs="Times New Roman"/>
                <w:kern w:val="2"/>
                <w:lang w:eastAsia="zh-CN"/>
              </w:rPr>
              <w:t>δ</w:t>
            </w:r>
            <w:r>
              <w:rPr>
                <w:rFonts w:cs="Times New Roman"/>
                <w:kern w:val="2"/>
                <w:lang w:val="de-DE" w:eastAsia="zh-CN"/>
              </w:rPr>
              <w:t>, t0+ 2</w:t>
            </w:r>
            <w:bookmarkStart w:id="18" w:name="_Hlk115083860"/>
            <w:r>
              <w:rPr>
                <w:rFonts w:cs="Times New Roman"/>
                <w:kern w:val="2"/>
                <w:lang w:eastAsia="zh-CN"/>
              </w:rPr>
              <w:t>δ</w:t>
            </w:r>
            <w:r>
              <w:rPr>
                <w:rFonts w:cs="Times New Roman"/>
                <w:kern w:val="2"/>
                <w:lang w:val="de-DE" w:eastAsia="zh-CN"/>
              </w:rPr>
              <w:t xml:space="preserve"> </w:t>
            </w:r>
            <w:bookmarkEnd w:id="18"/>
            <w:r>
              <w:rPr>
                <w:rFonts w:cs="Times New Roman"/>
                <w:kern w:val="2"/>
                <w:lang w:val="de-DE" w:eastAsia="zh-CN"/>
              </w:rPr>
              <w:t>and t0+ 3</w:t>
            </w:r>
            <w:r>
              <w:rPr>
                <w:rFonts w:cs="Times New Roman"/>
                <w:kern w:val="2"/>
                <w:lang w:eastAsia="zh-CN"/>
              </w:rPr>
              <w:t>δ</w:t>
            </w:r>
          </w:p>
          <w:bookmarkEnd w:id="17"/>
          <w:p w:rsidR="00887D3B" w:rsidRDefault="00AE2E2A">
            <w:pPr>
              <w:pStyle w:val="xmsonormal0"/>
              <w:rPr>
                <w:rFonts w:cs="Times New Roman"/>
                <w:kern w:val="2"/>
                <w:lang w:eastAsia="zh-CN"/>
              </w:rPr>
            </w:pPr>
            <w:r>
              <w:rPr>
                <w:rFonts w:cs="Times New Roman"/>
                <w:kern w:val="2"/>
                <w:lang w:eastAsia="zh-CN"/>
              </w:rPr>
              <w:t>δ</w:t>
            </w:r>
            <w:r>
              <w:rPr>
                <w:rFonts w:cs="Times New Roman"/>
                <w:kern w:val="2"/>
                <w:lang w:val="de-DE" w:eastAsia="zh-CN"/>
              </w:rPr>
              <w:t xml:space="preserve"> = [5, 10, 30, 60]</w:t>
            </w:r>
            <w:r>
              <w:rPr>
                <w:rFonts w:cs="Times New Roman" w:hint="eastAsia"/>
                <w:kern w:val="2"/>
                <w:lang w:eastAsia="zh-CN"/>
              </w:rPr>
              <w:t xml:space="preserve"> for earth fixed beam</w:t>
            </w:r>
          </w:p>
          <w:p w:rsidR="00887D3B" w:rsidRDefault="00AE2E2A">
            <w:pPr>
              <w:pStyle w:val="xmsonormal0"/>
              <w:rPr>
                <w:rFonts w:cs="Times New Roman"/>
                <w:kern w:val="2"/>
                <w:lang w:eastAsia="zh-CN"/>
              </w:rPr>
            </w:pPr>
            <w:r>
              <w:rPr>
                <w:rFonts w:cs="Times New Roman"/>
                <w:kern w:val="2"/>
                <w:lang w:eastAsia="zh-CN"/>
              </w:rPr>
              <w:t>δ</w:t>
            </w:r>
            <w:r>
              <w:rPr>
                <w:rFonts w:cs="Times New Roman"/>
                <w:kern w:val="2"/>
                <w:lang w:val="de-DE" w:eastAsia="zh-CN"/>
              </w:rPr>
              <w:t xml:space="preserve"> = [</w:t>
            </w:r>
            <w:r>
              <w:rPr>
                <w:rFonts w:cs="Times New Roman" w:hint="eastAsia"/>
                <w:kern w:val="2"/>
                <w:lang w:eastAsia="zh-CN"/>
              </w:rPr>
              <w:t>1, 5, 8</w:t>
            </w:r>
            <w:r>
              <w:rPr>
                <w:rFonts w:cs="Times New Roman"/>
                <w:kern w:val="2"/>
                <w:lang w:val="de-DE" w:eastAsia="zh-CN"/>
              </w:rPr>
              <w:t>]</w:t>
            </w:r>
            <w:r>
              <w:rPr>
                <w:rFonts w:cs="Times New Roman" w:hint="eastAsia"/>
                <w:kern w:val="2"/>
                <w:lang w:eastAsia="zh-CN"/>
              </w:rPr>
              <w:t xml:space="preserve"> for earth moving beam</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Interference modelling (ideal muting, or other)</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eastAsia="宋体" w:cs="Times New Roman"/>
                <w:szCs w:val="20"/>
                <w:lang w:eastAsia="zh-CN"/>
              </w:rPr>
            </w:pPr>
            <w:r>
              <w:rPr>
                <w:rFonts w:cs="Times New Roman"/>
                <w:szCs w:val="20"/>
              </w:rPr>
              <w:t>Ideal muting</w:t>
            </w:r>
          </w:p>
        </w:tc>
      </w:tr>
      <w:tr w:rsidR="00887D3B">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Reference Signal Transmission Bandwidth</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 xml:space="preserve">52 </w:t>
            </w:r>
            <w:r>
              <w:rPr>
                <w:rFonts w:cs="Times New Roman" w:hint="eastAsia"/>
                <w:szCs w:val="20"/>
              </w:rPr>
              <w:t>RB</w:t>
            </w:r>
            <w:r>
              <w:rPr>
                <w:rFonts w:cs="Times New Roman"/>
                <w:szCs w:val="20"/>
              </w:rPr>
              <w:t xml:space="preserve"> for both UL and DL</w:t>
            </w:r>
          </w:p>
        </w:tc>
      </w:tr>
      <w:tr w:rsidR="00887D3B">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Reference point for timing measurement</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Satellite</w:t>
            </w:r>
          </w:p>
        </w:tc>
      </w:tr>
      <w:tr w:rsidR="00887D3B">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 xml:space="preserve">Description of positioning technique / applied positioning algorithm </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eastAsiaTheme="minorEastAsia" w:cs="Times New Roman"/>
                <w:szCs w:val="20"/>
                <w:lang w:eastAsia="zh-CN"/>
              </w:rPr>
            </w:pPr>
            <w:r>
              <w:rPr>
                <w:rFonts w:cs="Times New Roman"/>
                <w:szCs w:val="20"/>
              </w:rPr>
              <w:t>Newton method</w:t>
            </w:r>
          </w:p>
        </w:tc>
      </w:tr>
      <w:tr w:rsidR="00887D3B">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UE speed</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3km/h</w:t>
            </w:r>
          </w:p>
        </w:tc>
      </w:tr>
      <w:tr w:rsidR="00887D3B">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Performance metrics</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Horizontal accuracy (UE 2D position accuracy)</w:t>
            </w:r>
          </w:p>
        </w:tc>
      </w:tr>
      <w:tr w:rsidR="00887D3B">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Style w:val="ad"/>
                <w:rFonts w:cs="Times New Roman"/>
                <w:szCs w:val="20"/>
              </w:rPr>
              <w:t>Additional notes, if any</w:t>
            </w:r>
          </w:p>
        </w:tc>
        <w:tc>
          <w:tcPr>
            <w:tcW w:w="2674" w:type="pct"/>
            <w:tcBorders>
              <w:top w:val="nil"/>
              <w:left w:val="nil"/>
              <w:bottom w:val="single" w:sz="8" w:space="0" w:color="999999"/>
              <w:right w:val="single" w:sz="8" w:space="0" w:color="999999"/>
            </w:tcBorders>
            <w:tcMar>
              <w:top w:w="0" w:type="dxa"/>
              <w:left w:w="108" w:type="dxa"/>
              <w:bottom w:w="0" w:type="dxa"/>
              <w:right w:w="108" w:type="dxa"/>
            </w:tcMar>
          </w:tcPr>
          <w:p w:rsidR="00887D3B" w:rsidRDefault="00AE2E2A">
            <w:pPr>
              <w:pStyle w:val="xmsonormal0"/>
              <w:rPr>
                <w:rFonts w:cs="Times New Roman"/>
                <w:szCs w:val="20"/>
              </w:rPr>
            </w:pPr>
            <w:r>
              <w:rPr>
                <w:rFonts w:cs="Times New Roman"/>
                <w:szCs w:val="20"/>
              </w:rPr>
              <w:t>Note 1: Time-related measurements can be performed via other downlink and uplink signals than PRS and SRS</w:t>
            </w:r>
          </w:p>
          <w:p w:rsidR="00887D3B" w:rsidRDefault="00AE2E2A">
            <w:pPr>
              <w:pStyle w:val="xmsonormal0"/>
              <w:rPr>
                <w:rFonts w:cs="Times New Roman"/>
                <w:szCs w:val="20"/>
              </w:rPr>
            </w:pPr>
            <w:r>
              <w:rPr>
                <w:rFonts w:cs="Times New Roman"/>
                <w:szCs w:val="20"/>
              </w:rPr>
              <w:t> </w:t>
            </w:r>
          </w:p>
          <w:p w:rsidR="00887D3B" w:rsidRDefault="00AE2E2A">
            <w:pPr>
              <w:pStyle w:val="xmsonormal0"/>
              <w:rPr>
                <w:rFonts w:cs="Times New Roman"/>
                <w:szCs w:val="20"/>
              </w:rPr>
            </w:pPr>
            <w:r>
              <w:rPr>
                <w:rFonts w:cs="Times New Roman"/>
                <w:szCs w:val="20"/>
              </w:rPr>
              <w:t>Note 2: The corresponding link budget should also be reported and the verification procedure should be done within the restriction of minimum elevation angle for service, e.g., 30 degree for LEO</w:t>
            </w:r>
          </w:p>
        </w:tc>
      </w:tr>
    </w:tbl>
    <w:p w:rsidR="00887D3B" w:rsidRDefault="00887D3B"/>
    <w:sectPr w:rsidR="00887D3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7741" w:rsidRDefault="005C7741">
      <w:pPr>
        <w:spacing w:line="240" w:lineRule="auto"/>
      </w:pPr>
      <w:r>
        <w:separator/>
      </w:r>
    </w:p>
  </w:endnote>
  <w:endnote w:type="continuationSeparator" w:id="0">
    <w:p w:rsidR="005C7741" w:rsidRDefault="005C77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7741" w:rsidRDefault="005C7741">
      <w:pPr>
        <w:spacing w:after="0"/>
      </w:pPr>
      <w:r>
        <w:separator/>
      </w:r>
    </w:p>
  </w:footnote>
  <w:footnote w:type="continuationSeparator" w:id="0">
    <w:p w:rsidR="005C7741" w:rsidRDefault="005C774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208F37EE"/>
    <w:multiLevelType w:val="multilevel"/>
    <w:tmpl w:val="208F37EE"/>
    <w:lvl w:ilvl="0">
      <w:start w:val="1"/>
      <w:numFmt w:val="decimal"/>
      <w:lvlText w:val="%1."/>
      <w:lvlJc w:val="left"/>
      <w:pPr>
        <w:ind w:left="800" w:hanging="36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6"/>
  </w:num>
  <w:num w:numId="6">
    <w:abstractNumId w:val="0"/>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2D"/>
    <w:rsid w:val="0000112A"/>
    <w:rsid w:val="00002327"/>
    <w:rsid w:val="00002418"/>
    <w:rsid w:val="000046F5"/>
    <w:rsid w:val="00004E88"/>
    <w:rsid w:val="00005B14"/>
    <w:rsid w:val="0000773C"/>
    <w:rsid w:val="00010179"/>
    <w:rsid w:val="000122F7"/>
    <w:rsid w:val="00015039"/>
    <w:rsid w:val="00015132"/>
    <w:rsid w:val="000163CA"/>
    <w:rsid w:val="000204BA"/>
    <w:rsid w:val="000207B3"/>
    <w:rsid w:val="00021434"/>
    <w:rsid w:val="00021AAE"/>
    <w:rsid w:val="00022E51"/>
    <w:rsid w:val="00022EDE"/>
    <w:rsid w:val="0002404A"/>
    <w:rsid w:val="00024905"/>
    <w:rsid w:val="000255C7"/>
    <w:rsid w:val="00026E46"/>
    <w:rsid w:val="000305EC"/>
    <w:rsid w:val="00031996"/>
    <w:rsid w:val="00031F57"/>
    <w:rsid w:val="0003439E"/>
    <w:rsid w:val="00036AFC"/>
    <w:rsid w:val="00037989"/>
    <w:rsid w:val="00040044"/>
    <w:rsid w:val="0004019D"/>
    <w:rsid w:val="00042798"/>
    <w:rsid w:val="00043AF2"/>
    <w:rsid w:val="00044F8D"/>
    <w:rsid w:val="00046E70"/>
    <w:rsid w:val="00046EC1"/>
    <w:rsid w:val="00047081"/>
    <w:rsid w:val="00052ACC"/>
    <w:rsid w:val="00053670"/>
    <w:rsid w:val="00054718"/>
    <w:rsid w:val="00054B9E"/>
    <w:rsid w:val="0005556D"/>
    <w:rsid w:val="00055DCC"/>
    <w:rsid w:val="0005679C"/>
    <w:rsid w:val="0005706E"/>
    <w:rsid w:val="000600A4"/>
    <w:rsid w:val="000630EA"/>
    <w:rsid w:val="00063D6A"/>
    <w:rsid w:val="0006445C"/>
    <w:rsid w:val="00064C14"/>
    <w:rsid w:val="00065FC8"/>
    <w:rsid w:val="00066C43"/>
    <w:rsid w:val="00066E94"/>
    <w:rsid w:val="00067072"/>
    <w:rsid w:val="000707AD"/>
    <w:rsid w:val="000726E4"/>
    <w:rsid w:val="00074CEC"/>
    <w:rsid w:val="0007510D"/>
    <w:rsid w:val="00075D81"/>
    <w:rsid w:val="000771C3"/>
    <w:rsid w:val="00082E56"/>
    <w:rsid w:val="00083768"/>
    <w:rsid w:val="00084A91"/>
    <w:rsid w:val="00085425"/>
    <w:rsid w:val="0008799A"/>
    <w:rsid w:val="0009076A"/>
    <w:rsid w:val="00091DB0"/>
    <w:rsid w:val="000929D3"/>
    <w:rsid w:val="0009552F"/>
    <w:rsid w:val="0009612B"/>
    <w:rsid w:val="00096412"/>
    <w:rsid w:val="00096975"/>
    <w:rsid w:val="00097080"/>
    <w:rsid w:val="00097C29"/>
    <w:rsid w:val="000A0C3E"/>
    <w:rsid w:val="000A0C91"/>
    <w:rsid w:val="000A2896"/>
    <w:rsid w:val="000A317F"/>
    <w:rsid w:val="000A57E6"/>
    <w:rsid w:val="000A5D0C"/>
    <w:rsid w:val="000A645B"/>
    <w:rsid w:val="000A6607"/>
    <w:rsid w:val="000A6F26"/>
    <w:rsid w:val="000B097D"/>
    <w:rsid w:val="000B1F3A"/>
    <w:rsid w:val="000B345B"/>
    <w:rsid w:val="000B44B2"/>
    <w:rsid w:val="000B512D"/>
    <w:rsid w:val="000B6824"/>
    <w:rsid w:val="000C0612"/>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5861"/>
    <w:rsid w:val="000D58F1"/>
    <w:rsid w:val="000D598F"/>
    <w:rsid w:val="000E3BD9"/>
    <w:rsid w:val="000E3EEA"/>
    <w:rsid w:val="000E4DDB"/>
    <w:rsid w:val="000E4EF8"/>
    <w:rsid w:val="000E50B9"/>
    <w:rsid w:val="000E5209"/>
    <w:rsid w:val="000E6592"/>
    <w:rsid w:val="000E65C2"/>
    <w:rsid w:val="000E6D83"/>
    <w:rsid w:val="000E7075"/>
    <w:rsid w:val="000F1576"/>
    <w:rsid w:val="000F22A0"/>
    <w:rsid w:val="000F2DCC"/>
    <w:rsid w:val="000F4FB7"/>
    <w:rsid w:val="000F504F"/>
    <w:rsid w:val="000F58D7"/>
    <w:rsid w:val="000F7322"/>
    <w:rsid w:val="000F785C"/>
    <w:rsid w:val="000F7F6B"/>
    <w:rsid w:val="00102955"/>
    <w:rsid w:val="001030E2"/>
    <w:rsid w:val="00103A1D"/>
    <w:rsid w:val="00103ADE"/>
    <w:rsid w:val="001040A3"/>
    <w:rsid w:val="001042A2"/>
    <w:rsid w:val="001053A6"/>
    <w:rsid w:val="00110ED1"/>
    <w:rsid w:val="001116FD"/>
    <w:rsid w:val="00111BF3"/>
    <w:rsid w:val="0011371F"/>
    <w:rsid w:val="001140B1"/>
    <w:rsid w:val="0011457F"/>
    <w:rsid w:val="001164E7"/>
    <w:rsid w:val="001175A0"/>
    <w:rsid w:val="0011771D"/>
    <w:rsid w:val="00117825"/>
    <w:rsid w:val="001207EB"/>
    <w:rsid w:val="00120E8A"/>
    <w:rsid w:val="00121B4C"/>
    <w:rsid w:val="0012343B"/>
    <w:rsid w:val="00123A6A"/>
    <w:rsid w:val="001277FA"/>
    <w:rsid w:val="00127950"/>
    <w:rsid w:val="00130DB6"/>
    <w:rsid w:val="0013220A"/>
    <w:rsid w:val="001334A7"/>
    <w:rsid w:val="001360D8"/>
    <w:rsid w:val="00136467"/>
    <w:rsid w:val="001366F7"/>
    <w:rsid w:val="00136871"/>
    <w:rsid w:val="001369F6"/>
    <w:rsid w:val="001401D1"/>
    <w:rsid w:val="00140AE4"/>
    <w:rsid w:val="0014136C"/>
    <w:rsid w:val="0014315C"/>
    <w:rsid w:val="001447C9"/>
    <w:rsid w:val="001455B4"/>
    <w:rsid w:val="00145B2C"/>
    <w:rsid w:val="00145BE8"/>
    <w:rsid w:val="00145F75"/>
    <w:rsid w:val="001478C9"/>
    <w:rsid w:val="001479B0"/>
    <w:rsid w:val="00150658"/>
    <w:rsid w:val="00152B82"/>
    <w:rsid w:val="00152E17"/>
    <w:rsid w:val="00153DFD"/>
    <w:rsid w:val="00153EE3"/>
    <w:rsid w:val="00157411"/>
    <w:rsid w:val="001637D9"/>
    <w:rsid w:val="00163958"/>
    <w:rsid w:val="00163C43"/>
    <w:rsid w:val="00163E3A"/>
    <w:rsid w:val="001645E4"/>
    <w:rsid w:val="00164C6C"/>
    <w:rsid w:val="00165036"/>
    <w:rsid w:val="00166848"/>
    <w:rsid w:val="00166EF0"/>
    <w:rsid w:val="0016725B"/>
    <w:rsid w:val="00167C34"/>
    <w:rsid w:val="00170B5B"/>
    <w:rsid w:val="00170CD6"/>
    <w:rsid w:val="0017178D"/>
    <w:rsid w:val="00172A27"/>
    <w:rsid w:val="00173343"/>
    <w:rsid w:val="00173624"/>
    <w:rsid w:val="00174EE5"/>
    <w:rsid w:val="00176371"/>
    <w:rsid w:val="00176496"/>
    <w:rsid w:val="001767AB"/>
    <w:rsid w:val="00176CE4"/>
    <w:rsid w:val="00177052"/>
    <w:rsid w:val="0018253F"/>
    <w:rsid w:val="00183086"/>
    <w:rsid w:val="001832AB"/>
    <w:rsid w:val="0018415A"/>
    <w:rsid w:val="00185634"/>
    <w:rsid w:val="00185B2D"/>
    <w:rsid w:val="0019297F"/>
    <w:rsid w:val="00194071"/>
    <w:rsid w:val="001945CB"/>
    <w:rsid w:val="00194A42"/>
    <w:rsid w:val="001950A5"/>
    <w:rsid w:val="001964C6"/>
    <w:rsid w:val="001A040E"/>
    <w:rsid w:val="001A27EA"/>
    <w:rsid w:val="001A585E"/>
    <w:rsid w:val="001A63FC"/>
    <w:rsid w:val="001A671C"/>
    <w:rsid w:val="001A74B5"/>
    <w:rsid w:val="001B0350"/>
    <w:rsid w:val="001B10C2"/>
    <w:rsid w:val="001B1525"/>
    <w:rsid w:val="001B4A58"/>
    <w:rsid w:val="001B61CA"/>
    <w:rsid w:val="001C12F0"/>
    <w:rsid w:val="001C2942"/>
    <w:rsid w:val="001C3113"/>
    <w:rsid w:val="001C34AE"/>
    <w:rsid w:val="001C4B12"/>
    <w:rsid w:val="001C53EA"/>
    <w:rsid w:val="001D0BE9"/>
    <w:rsid w:val="001D308C"/>
    <w:rsid w:val="001D3FCD"/>
    <w:rsid w:val="001D46E8"/>
    <w:rsid w:val="001D4C5A"/>
    <w:rsid w:val="001D59E7"/>
    <w:rsid w:val="001D63E6"/>
    <w:rsid w:val="001D7DDA"/>
    <w:rsid w:val="001E130B"/>
    <w:rsid w:val="001E2099"/>
    <w:rsid w:val="001E27E0"/>
    <w:rsid w:val="001E3616"/>
    <w:rsid w:val="001E3C31"/>
    <w:rsid w:val="001E5D55"/>
    <w:rsid w:val="001F080B"/>
    <w:rsid w:val="001F42FD"/>
    <w:rsid w:val="001F435A"/>
    <w:rsid w:val="001F532D"/>
    <w:rsid w:val="001F6735"/>
    <w:rsid w:val="001F73F8"/>
    <w:rsid w:val="001F7E2A"/>
    <w:rsid w:val="0020127D"/>
    <w:rsid w:val="00202971"/>
    <w:rsid w:val="00205322"/>
    <w:rsid w:val="00206259"/>
    <w:rsid w:val="00211192"/>
    <w:rsid w:val="002150C0"/>
    <w:rsid w:val="00215B4B"/>
    <w:rsid w:val="00215C0C"/>
    <w:rsid w:val="00217CD0"/>
    <w:rsid w:val="00220720"/>
    <w:rsid w:val="00220F13"/>
    <w:rsid w:val="0022242B"/>
    <w:rsid w:val="00222B41"/>
    <w:rsid w:val="00223922"/>
    <w:rsid w:val="002239D1"/>
    <w:rsid w:val="002239E2"/>
    <w:rsid w:val="002260BF"/>
    <w:rsid w:val="00226B4E"/>
    <w:rsid w:val="002277AA"/>
    <w:rsid w:val="00227B9F"/>
    <w:rsid w:val="002300DA"/>
    <w:rsid w:val="00230E2F"/>
    <w:rsid w:val="002337F7"/>
    <w:rsid w:val="00234FE9"/>
    <w:rsid w:val="00237C5F"/>
    <w:rsid w:val="00237EF8"/>
    <w:rsid w:val="0024089A"/>
    <w:rsid w:val="00241E81"/>
    <w:rsid w:val="00242177"/>
    <w:rsid w:val="00244D3C"/>
    <w:rsid w:val="0024697D"/>
    <w:rsid w:val="0024761D"/>
    <w:rsid w:val="002509D8"/>
    <w:rsid w:val="00252A27"/>
    <w:rsid w:val="00253B31"/>
    <w:rsid w:val="00255D8E"/>
    <w:rsid w:val="00255E7F"/>
    <w:rsid w:val="00261495"/>
    <w:rsid w:val="002617C9"/>
    <w:rsid w:val="002628A3"/>
    <w:rsid w:val="00263CF8"/>
    <w:rsid w:val="00266010"/>
    <w:rsid w:val="002662CE"/>
    <w:rsid w:val="002667CD"/>
    <w:rsid w:val="00271029"/>
    <w:rsid w:val="00272F96"/>
    <w:rsid w:val="002733D4"/>
    <w:rsid w:val="0027491E"/>
    <w:rsid w:val="002749B2"/>
    <w:rsid w:val="002767BF"/>
    <w:rsid w:val="00277BD3"/>
    <w:rsid w:val="002804CA"/>
    <w:rsid w:val="00282B5B"/>
    <w:rsid w:val="002863A3"/>
    <w:rsid w:val="00286A1A"/>
    <w:rsid w:val="00287149"/>
    <w:rsid w:val="002901AB"/>
    <w:rsid w:val="00290412"/>
    <w:rsid w:val="00291D82"/>
    <w:rsid w:val="002924F9"/>
    <w:rsid w:val="0029575D"/>
    <w:rsid w:val="00295CB2"/>
    <w:rsid w:val="002A03BF"/>
    <w:rsid w:val="002A10AC"/>
    <w:rsid w:val="002A1B43"/>
    <w:rsid w:val="002A3174"/>
    <w:rsid w:val="002A40A7"/>
    <w:rsid w:val="002A431F"/>
    <w:rsid w:val="002A5D5E"/>
    <w:rsid w:val="002A5DBB"/>
    <w:rsid w:val="002A7E58"/>
    <w:rsid w:val="002B15AC"/>
    <w:rsid w:val="002B1AEC"/>
    <w:rsid w:val="002B31BC"/>
    <w:rsid w:val="002B3F53"/>
    <w:rsid w:val="002B4341"/>
    <w:rsid w:val="002B4354"/>
    <w:rsid w:val="002B5408"/>
    <w:rsid w:val="002B6229"/>
    <w:rsid w:val="002C2E6F"/>
    <w:rsid w:val="002C36C2"/>
    <w:rsid w:val="002C37D5"/>
    <w:rsid w:val="002C3C85"/>
    <w:rsid w:val="002C4016"/>
    <w:rsid w:val="002C5BB8"/>
    <w:rsid w:val="002C5C2D"/>
    <w:rsid w:val="002C636A"/>
    <w:rsid w:val="002C7437"/>
    <w:rsid w:val="002D0CFF"/>
    <w:rsid w:val="002D109F"/>
    <w:rsid w:val="002D1FE0"/>
    <w:rsid w:val="002D35C9"/>
    <w:rsid w:val="002D3617"/>
    <w:rsid w:val="002D3E6A"/>
    <w:rsid w:val="002D4D12"/>
    <w:rsid w:val="002D4F8A"/>
    <w:rsid w:val="002D6C7D"/>
    <w:rsid w:val="002D74A4"/>
    <w:rsid w:val="002E0B56"/>
    <w:rsid w:val="002E2D9B"/>
    <w:rsid w:val="002E3656"/>
    <w:rsid w:val="002E5475"/>
    <w:rsid w:val="002E5A0C"/>
    <w:rsid w:val="002E5F90"/>
    <w:rsid w:val="002E637E"/>
    <w:rsid w:val="002E6858"/>
    <w:rsid w:val="002E7BEA"/>
    <w:rsid w:val="002E7D93"/>
    <w:rsid w:val="002E7F8A"/>
    <w:rsid w:val="002E7F97"/>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68E"/>
    <w:rsid w:val="00305DE0"/>
    <w:rsid w:val="0030727E"/>
    <w:rsid w:val="00313773"/>
    <w:rsid w:val="00313AD9"/>
    <w:rsid w:val="00313D16"/>
    <w:rsid w:val="00314809"/>
    <w:rsid w:val="00315066"/>
    <w:rsid w:val="00315C20"/>
    <w:rsid w:val="00317C7F"/>
    <w:rsid w:val="00320CAE"/>
    <w:rsid w:val="00322CF7"/>
    <w:rsid w:val="00323A2F"/>
    <w:rsid w:val="003240FB"/>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692D"/>
    <w:rsid w:val="003472B4"/>
    <w:rsid w:val="003503C4"/>
    <w:rsid w:val="00350FBC"/>
    <w:rsid w:val="00351908"/>
    <w:rsid w:val="0035204B"/>
    <w:rsid w:val="00352086"/>
    <w:rsid w:val="003529BD"/>
    <w:rsid w:val="003557F6"/>
    <w:rsid w:val="003621CE"/>
    <w:rsid w:val="003627EF"/>
    <w:rsid w:val="00362D4E"/>
    <w:rsid w:val="003634E2"/>
    <w:rsid w:val="00363A78"/>
    <w:rsid w:val="003643F8"/>
    <w:rsid w:val="00366F67"/>
    <w:rsid w:val="0037065F"/>
    <w:rsid w:val="003720D1"/>
    <w:rsid w:val="0037266D"/>
    <w:rsid w:val="00375C1F"/>
    <w:rsid w:val="00376270"/>
    <w:rsid w:val="003813C9"/>
    <w:rsid w:val="00381B94"/>
    <w:rsid w:val="003821A4"/>
    <w:rsid w:val="00384A17"/>
    <w:rsid w:val="003851CA"/>
    <w:rsid w:val="0038541D"/>
    <w:rsid w:val="00387508"/>
    <w:rsid w:val="00391906"/>
    <w:rsid w:val="0039193E"/>
    <w:rsid w:val="00391AC5"/>
    <w:rsid w:val="00392A1E"/>
    <w:rsid w:val="003933F1"/>
    <w:rsid w:val="00393A9A"/>
    <w:rsid w:val="0039442E"/>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F46"/>
    <w:rsid w:val="003B1113"/>
    <w:rsid w:val="003B1C09"/>
    <w:rsid w:val="003B3197"/>
    <w:rsid w:val="003B4369"/>
    <w:rsid w:val="003B47ED"/>
    <w:rsid w:val="003B4BF5"/>
    <w:rsid w:val="003B5BAE"/>
    <w:rsid w:val="003C193E"/>
    <w:rsid w:val="003C1D6D"/>
    <w:rsid w:val="003C54CC"/>
    <w:rsid w:val="003C562C"/>
    <w:rsid w:val="003C67E4"/>
    <w:rsid w:val="003C6911"/>
    <w:rsid w:val="003C7925"/>
    <w:rsid w:val="003D0C02"/>
    <w:rsid w:val="003D198D"/>
    <w:rsid w:val="003D1BA8"/>
    <w:rsid w:val="003D1D14"/>
    <w:rsid w:val="003D471D"/>
    <w:rsid w:val="003D645F"/>
    <w:rsid w:val="003E10DC"/>
    <w:rsid w:val="003E21E9"/>
    <w:rsid w:val="003E239D"/>
    <w:rsid w:val="003E4FCA"/>
    <w:rsid w:val="003E4FD3"/>
    <w:rsid w:val="003F097C"/>
    <w:rsid w:val="003F16AA"/>
    <w:rsid w:val="003F2293"/>
    <w:rsid w:val="003F342B"/>
    <w:rsid w:val="003F4AB7"/>
    <w:rsid w:val="003F7954"/>
    <w:rsid w:val="00402656"/>
    <w:rsid w:val="00406247"/>
    <w:rsid w:val="00406E9B"/>
    <w:rsid w:val="00407685"/>
    <w:rsid w:val="00407B1E"/>
    <w:rsid w:val="0041043C"/>
    <w:rsid w:val="00412E17"/>
    <w:rsid w:val="004164C0"/>
    <w:rsid w:val="00416785"/>
    <w:rsid w:val="0041746D"/>
    <w:rsid w:val="00417601"/>
    <w:rsid w:val="00417A84"/>
    <w:rsid w:val="00420D73"/>
    <w:rsid w:val="0042154F"/>
    <w:rsid w:val="00422186"/>
    <w:rsid w:val="0042521E"/>
    <w:rsid w:val="0042651B"/>
    <w:rsid w:val="004301DE"/>
    <w:rsid w:val="0043065A"/>
    <w:rsid w:val="004318CA"/>
    <w:rsid w:val="00431B46"/>
    <w:rsid w:val="00431D3C"/>
    <w:rsid w:val="00433F20"/>
    <w:rsid w:val="0043506E"/>
    <w:rsid w:val="00436FE4"/>
    <w:rsid w:val="0044070C"/>
    <w:rsid w:val="004408D1"/>
    <w:rsid w:val="00441688"/>
    <w:rsid w:val="00441BEC"/>
    <w:rsid w:val="004428DE"/>
    <w:rsid w:val="00442B8A"/>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3942"/>
    <w:rsid w:val="00464E35"/>
    <w:rsid w:val="004654BC"/>
    <w:rsid w:val="004654CB"/>
    <w:rsid w:val="00466B93"/>
    <w:rsid w:val="004702C2"/>
    <w:rsid w:val="004729EF"/>
    <w:rsid w:val="004731FE"/>
    <w:rsid w:val="00476B4B"/>
    <w:rsid w:val="004809B5"/>
    <w:rsid w:val="0048145B"/>
    <w:rsid w:val="00481B43"/>
    <w:rsid w:val="00481D50"/>
    <w:rsid w:val="0048347E"/>
    <w:rsid w:val="00483DAA"/>
    <w:rsid w:val="00484022"/>
    <w:rsid w:val="0048570C"/>
    <w:rsid w:val="00486487"/>
    <w:rsid w:val="0048653D"/>
    <w:rsid w:val="0048763A"/>
    <w:rsid w:val="00490561"/>
    <w:rsid w:val="00492181"/>
    <w:rsid w:val="00492CAD"/>
    <w:rsid w:val="004945B1"/>
    <w:rsid w:val="00494A92"/>
    <w:rsid w:val="0049583F"/>
    <w:rsid w:val="00495944"/>
    <w:rsid w:val="00495A57"/>
    <w:rsid w:val="00495EB5"/>
    <w:rsid w:val="00496247"/>
    <w:rsid w:val="004969FD"/>
    <w:rsid w:val="004A006D"/>
    <w:rsid w:val="004A15E7"/>
    <w:rsid w:val="004A5C0E"/>
    <w:rsid w:val="004A6BE0"/>
    <w:rsid w:val="004A7965"/>
    <w:rsid w:val="004B05AC"/>
    <w:rsid w:val="004B27B7"/>
    <w:rsid w:val="004B37BB"/>
    <w:rsid w:val="004B5F93"/>
    <w:rsid w:val="004B615F"/>
    <w:rsid w:val="004B6616"/>
    <w:rsid w:val="004B7DA7"/>
    <w:rsid w:val="004C047C"/>
    <w:rsid w:val="004C13E3"/>
    <w:rsid w:val="004C1572"/>
    <w:rsid w:val="004C32AB"/>
    <w:rsid w:val="004C35CF"/>
    <w:rsid w:val="004D140F"/>
    <w:rsid w:val="004D178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655F"/>
    <w:rsid w:val="004E7C87"/>
    <w:rsid w:val="004F004C"/>
    <w:rsid w:val="004F09C8"/>
    <w:rsid w:val="004F2E33"/>
    <w:rsid w:val="004F47F5"/>
    <w:rsid w:val="004F56B7"/>
    <w:rsid w:val="004F7230"/>
    <w:rsid w:val="00500B0A"/>
    <w:rsid w:val="0050203F"/>
    <w:rsid w:val="00503202"/>
    <w:rsid w:val="00504167"/>
    <w:rsid w:val="00504641"/>
    <w:rsid w:val="0050481A"/>
    <w:rsid w:val="00507B25"/>
    <w:rsid w:val="0051054E"/>
    <w:rsid w:val="00514A5F"/>
    <w:rsid w:val="0051511D"/>
    <w:rsid w:val="0051721B"/>
    <w:rsid w:val="00517CC8"/>
    <w:rsid w:val="00520474"/>
    <w:rsid w:val="0052302B"/>
    <w:rsid w:val="005245D8"/>
    <w:rsid w:val="0052543C"/>
    <w:rsid w:val="00525D0D"/>
    <w:rsid w:val="00527981"/>
    <w:rsid w:val="00531476"/>
    <w:rsid w:val="00531C32"/>
    <w:rsid w:val="00532BE2"/>
    <w:rsid w:val="00533E6F"/>
    <w:rsid w:val="005347E6"/>
    <w:rsid w:val="00536865"/>
    <w:rsid w:val="005411C2"/>
    <w:rsid w:val="00541AC2"/>
    <w:rsid w:val="00542F50"/>
    <w:rsid w:val="005434EA"/>
    <w:rsid w:val="0054377D"/>
    <w:rsid w:val="005439BB"/>
    <w:rsid w:val="00544E58"/>
    <w:rsid w:val="00546AA2"/>
    <w:rsid w:val="00547EED"/>
    <w:rsid w:val="00550032"/>
    <w:rsid w:val="00555010"/>
    <w:rsid w:val="0055515C"/>
    <w:rsid w:val="00555635"/>
    <w:rsid w:val="00557146"/>
    <w:rsid w:val="0055771C"/>
    <w:rsid w:val="00557DF7"/>
    <w:rsid w:val="00560112"/>
    <w:rsid w:val="0056072D"/>
    <w:rsid w:val="00561353"/>
    <w:rsid w:val="005615A7"/>
    <w:rsid w:val="0056261E"/>
    <w:rsid w:val="005631E5"/>
    <w:rsid w:val="005707D7"/>
    <w:rsid w:val="00572450"/>
    <w:rsid w:val="00572794"/>
    <w:rsid w:val="005735A1"/>
    <w:rsid w:val="00574C8E"/>
    <w:rsid w:val="005776B3"/>
    <w:rsid w:val="00577B25"/>
    <w:rsid w:val="00577FA3"/>
    <w:rsid w:val="005800AE"/>
    <w:rsid w:val="00580495"/>
    <w:rsid w:val="0058072B"/>
    <w:rsid w:val="005818F2"/>
    <w:rsid w:val="005830DA"/>
    <w:rsid w:val="00583585"/>
    <w:rsid w:val="00584402"/>
    <w:rsid w:val="0058467B"/>
    <w:rsid w:val="00584754"/>
    <w:rsid w:val="005847B4"/>
    <w:rsid w:val="00587B31"/>
    <w:rsid w:val="00591874"/>
    <w:rsid w:val="00591995"/>
    <w:rsid w:val="00591A9A"/>
    <w:rsid w:val="00591AFC"/>
    <w:rsid w:val="00593A13"/>
    <w:rsid w:val="005942C9"/>
    <w:rsid w:val="00594C6B"/>
    <w:rsid w:val="00595D60"/>
    <w:rsid w:val="00595FF1"/>
    <w:rsid w:val="00596155"/>
    <w:rsid w:val="0059699B"/>
    <w:rsid w:val="00596B55"/>
    <w:rsid w:val="005A3B37"/>
    <w:rsid w:val="005A44CD"/>
    <w:rsid w:val="005A4AEC"/>
    <w:rsid w:val="005A50F5"/>
    <w:rsid w:val="005A6441"/>
    <w:rsid w:val="005A6487"/>
    <w:rsid w:val="005A65FF"/>
    <w:rsid w:val="005B0A1B"/>
    <w:rsid w:val="005B0FF6"/>
    <w:rsid w:val="005B136F"/>
    <w:rsid w:val="005B262F"/>
    <w:rsid w:val="005B4101"/>
    <w:rsid w:val="005B4921"/>
    <w:rsid w:val="005B4E40"/>
    <w:rsid w:val="005B55FD"/>
    <w:rsid w:val="005B7EB5"/>
    <w:rsid w:val="005C07D3"/>
    <w:rsid w:val="005C1775"/>
    <w:rsid w:val="005C25C8"/>
    <w:rsid w:val="005C39A8"/>
    <w:rsid w:val="005C5ADE"/>
    <w:rsid w:val="005C5C1D"/>
    <w:rsid w:val="005C6038"/>
    <w:rsid w:val="005C611C"/>
    <w:rsid w:val="005C7591"/>
    <w:rsid w:val="005C7741"/>
    <w:rsid w:val="005C7BD4"/>
    <w:rsid w:val="005D0855"/>
    <w:rsid w:val="005D0FDD"/>
    <w:rsid w:val="005D13C0"/>
    <w:rsid w:val="005D720D"/>
    <w:rsid w:val="005E056A"/>
    <w:rsid w:val="005E0A93"/>
    <w:rsid w:val="005E0E1D"/>
    <w:rsid w:val="005E2461"/>
    <w:rsid w:val="005E247B"/>
    <w:rsid w:val="005E30CF"/>
    <w:rsid w:val="005E4CFC"/>
    <w:rsid w:val="005E567C"/>
    <w:rsid w:val="005E5A35"/>
    <w:rsid w:val="005F1C4C"/>
    <w:rsid w:val="005F347D"/>
    <w:rsid w:val="005F4060"/>
    <w:rsid w:val="005F5FD1"/>
    <w:rsid w:val="005F6497"/>
    <w:rsid w:val="005F6A35"/>
    <w:rsid w:val="00600C3B"/>
    <w:rsid w:val="006023E9"/>
    <w:rsid w:val="00604BE0"/>
    <w:rsid w:val="00604ED7"/>
    <w:rsid w:val="00605C52"/>
    <w:rsid w:val="006069F4"/>
    <w:rsid w:val="006075F1"/>
    <w:rsid w:val="00607B2C"/>
    <w:rsid w:val="00610C89"/>
    <w:rsid w:val="006112D1"/>
    <w:rsid w:val="00611BF1"/>
    <w:rsid w:val="006129B4"/>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38B5"/>
    <w:rsid w:val="00625539"/>
    <w:rsid w:val="0062743C"/>
    <w:rsid w:val="006309DB"/>
    <w:rsid w:val="00631E9B"/>
    <w:rsid w:val="00632335"/>
    <w:rsid w:val="00632354"/>
    <w:rsid w:val="006336DA"/>
    <w:rsid w:val="00633ED2"/>
    <w:rsid w:val="00634D66"/>
    <w:rsid w:val="006361FB"/>
    <w:rsid w:val="006401AA"/>
    <w:rsid w:val="00640FA0"/>
    <w:rsid w:val="006424C6"/>
    <w:rsid w:val="00642581"/>
    <w:rsid w:val="00645266"/>
    <w:rsid w:val="0064570B"/>
    <w:rsid w:val="00646900"/>
    <w:rsid w:val="006502C9"/>
    <w:rsid w:val="0065067B"/>
    <w:rsid w:val="00651369"/>
    <w:rsid w:val="006527BC"/>
    <w:rsid w:val="006535CC"/>
    <w:rsid w:val="00653D64"/>
    <w:rsid w:val="0065408D"/>
    <w:rsid w:val="006555CE"/>
    <w:rsid w:val="0065614D"/>
    <w:rsid w:val="00656299"/>
    <w:rsid w:val="006570C0"/>
    <w:rsid w:val="00657778"/>
    <w:rsid w:val="00657F99"/>
    <w:rsid w:val="006608EA"/>
    <w:rsid w:val="00661B5D"/>
    <w:rsid w:val="006633E8"/>
    <w:rsid w:val="00664290"/>
    <w:rsid w:val="006651B0"/>
    <w:rsid w:val="006652A5"/>
    <w:rsid w:val="006679C0"/>
    <w:rsid w:val="00672F6C"/>
    <w:rsid w:val="0067386F"/>
    <w:rsid w:val="00673B4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710D"/>
    <w:rsid w:val="00687A28"/>
    <w:rsid w:val="0069129F"/>
    <w:rsid w:val="006942DE"/>
    <w:rsid w:val="00695773"/>
    <w:rsid w:val="006959F4"/>
    <w:rsid w:val="00695F4B"/>
    <w:rsid w:val="00696055"/>
    <w:rsid w:val="00696C4B"/>
    <w:rsid w:val="006A2144"/>
    <w:rsid w:val="006A4C47"/>
    <w:rsid w:val="006A5005"/>
    <w:rsid w:val="006A770B"/>
    <w:rsid w:val="006A78AB"/>
    <w:rsid w:val="006B0E4D"/>
    <w:rsid w:val="006B11B9"/>
    <w:rsid w:val="006B2BFD"/>
    <w:rsid w:val="006B2F59"/>
    <w:rsid w:val="006B3E7B"/>
    <w:rsid w:val="006B44DE"/>
    <w:rsid w:val="006B68A9"/>
    <w:rsid w:val="006B68BB"/>
    <w:rsid w:val="006B6D1F"/>
    <w:rsid w:val="006C2AFB"/>
    <w:rsid w:val="006C5BED"/>
    <w:rsid w:val="006C6196"/>
    <w:rsid w:val="006C63FA"/>
    <w:rsid w:val="006C79CC"/>
    <w:rsid w:val="006C7C94"/>
    <w:rsid w:val="006D02E7"/>
    <w:rsid w:val="006D0B90"/>
    <w:rsid w:val="006D2633"/>
    <w:rsid w:val="006D267E"/>
    <w:rsid w:val="006D2F82"/>
    <w:rsid w:val="006D419D"/>
    <w:rsid w:val="006D471A"/>
    <w:rsid w:val="006D5130"/>
    <w:rsid w:val="006D51BF"/>
    <w:rsid w:val="006E2E96"/>
    <w:rsid w:val="006E381A"/>
    <w:rsid w:val="006E409B"/>
    <w:rsid w:val="006E492C"/>
    <w:rsid w:val="006E56D5"/>
    <w:rsid w:val="006E5A5A"/>
    <w:rsid w:val="006F05F7"/>
    <w:rsid w:val="006F2A5C"/>
    <w:rsid w:val="006F31E9"/>
    <w:rsid w:val="006F4431"/>
    <w:rsid w:val="006F4D95"/>
    <w:rsid w:val="006F72D5"/>
    <w:rsid w:val="006F72F6"/>
    <w:rsid w:val="00700CD1"/>
    <w:rsid w:val="007012CD"/>
    <w:rsid w:val="00702B90"/>
    <w:rsid w:val="0070447C"/>
    <w:rsid w:val="0070498A"/>
    <w:rsid w:val="00706D14"/>
    <w:rsid w:val="00707AB5"/>
    <w:rsid w:val="00711028"/>
    <w:rsid w:val="007110BD"/>
    <w:rsid w:val="00711C5C"/>
    <w:rsid w:val="007127BB"/>
    <w:rsid w:val="00713CDF"/>
    <w:rsid w:val="0071444C"/>
    <w:rsid w:val="007153CF"/>
    <w:rsid w:val="0071629F"/>
    <w:rsid w:val="00716683"/>
    <w:rsid w:val="007169D1"/>
    <w:rsid w:val="00717015"/>
    <w:rsid w:val="00717E4D"/>
    <w:rsid w:val="00720231"/>
    <w:rsid w:val="00720CE7"/>
    <w:rsid w:val="0072125E"/>
    <w:rsid w:val="00721DCF"/>
    <w:rsid w:val="0072286D"/>
    <w:rsid w:val="00723A1F"/>
    <w:rsid w:val="00724E82"/>
    <w:rsid w:val="00725141"/>
    <w:rsid w:val="0072584B"/>
    <w:rsid w:val="00727B0F"/>
    <w:rsid w:val="00727CFC"/>
    <w:rsid w:val="00730673"/>
    <w:rsid w:val="00730741"/>
    <w:rsid w:val="00731300"/>
    <w:rsid w:val="00734A39"/>
    <w:rsid w:val="00736467"/>
    <w:rsid w:val="00737944"/>
    <w:rsid w:val="007403F3"/>
    <w:rsid w:val="00741BBA"/>
    <w:rsid w:val="00742CED"/>
    <w:rsid w:val="00744CC0"/>
    <w:rsid w:val="00744DC7"/>
    <w:rsid w:val="0074513B"/>
    <w:rsid w:val="007453DB"/>
    <w:rsid w:val="00745D0B"/>
    <w:rsid w:val="00745EBE"/>
    <w:rsid w:val="00746683"/>
    <w:rsid w:val="0074781F"/>
    <w:rsid w:val="00747A13"/>
    <w:rsid w:val="0075096A"/>
    <w:rsid w:val="00752F91"/>
    <w:rsid w:val="00753EB1"/>
    <w:rsid w:val="007571BD"/>
    <w:rsid w:val="0075779A"/>
    <w:rsid w:val="00762B16"/>
    <w:rsid w:val="00763807"/>
    <w:rsid w:val="00764DDF"/>
    <w:rsid w:val="00764E50"/>
    <w:rsid w:val="00765D18"/>
    <w:rsid w:val="00766275"/>
    <w:rsid w:val="00766629"/>
    <w:rsid w:val="00766EC1"/>
    <w:rsid w:val="00767C83"/>
    <w:rsid w:val="00770305"/>
    <w:rsid w:val="0077075F"/>
    <w:rsid w:val="00770AD6"/>
    <w:rsid w:val="0077403A"/>
    <w:rsid w:val="00777FE7"/>
    <w:rsid w:val="007824B2"/>
    <w:rsid w:val="0078257B"/>
    <w:rsid w:val="00782A64"/>
    <w:rsid w:val="00784092"/>
    <w:rsid w:val="0078436A"/>
    <w:rsid w:val="0078446D"/>
    <w:rsid w:val="0078687B"/>
    <w:rsid w:val="00786908"/>
    <w:rsid w:val="00786915"/>
    <w:rsid w:val="0078717C"/>
    <w:rsid w:val="0078758C"/>
    <w:rsid w:val="007907A9"/>
    <w:rsid w:val="007918C5"/>
    <w:rsid w:val="00792482"/>
    <w:rsid w:val="007934C2"/>
    <w:rsid w:val="00794C8F"/>
    <w:rsid w:val="00795081"/>
    <w:rsid w:val="00795A49"/>
    <w:rsid w:val="00796100"/>
    <w:rsid w:val="00796AB0"/>
    <w:rsid w:val="007975CE"/>
    <w:rsid w:val="007A016B"/>
    <w:rsid w:val="007A040B"/>
    <w:rsid w:val="007A0978"/>
    <w:rsid w:val="007A1C99"/>
    <w:rsid w:val="007A29B5"/>
    <w:rsid w:val="007A29D7"/>
    <w:rsid w:val="007A4006"/>
    <w:rsid w:val="007A41C8"/>
    <w:rsid w:val="007A508F"/>
    <w:rsid w:val="007A64E8"/>
    <w:rsid w:val="007A6D32"/>
    <w:rsid w:val="007A776A"/>
    <w:rsid w:val="007A7E5E"/>
    <w:rsid w:val="007A7FCE"/>
    <w:rsid w:val="007B1EAD"/>
    <w:rsid w:val="007B2A3D"/>
    <w:rsid w:val="007B2B9F"/>
    <w:rsid w:val="007B2C1F"/>
    <w:rsid w:val="007B484E"/>
    <w:rsid w:val="007B4875"/>
    <w:rsid w:val="007B5970"/>
    <w:rsid w:val="007B59A2"/>
    <w:rsid w:val="007B60A5"/>
    <w:rsid w:val="007B7E26"/>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E0E3C"/>
    <w:rsid w:val="007E195E"/>
    <w:rsid w:val="007E3897"/>
    <w:rsid w:val="007E5230"/>
    <w:rsid w:val="007E62AD"/>
    <w:rsid w:val="007E6927"/>
    <w:rsid w:val="007F12AD"/>
    <w:rsid w:val="007F19DB"/>
    <w:rsid w:val="007F287A"/>
    <w:rsid w:val="007F2E8A"/>
    <w:rsid w:val="007F3575"/>
    <w:rsid w:val="007F3EE4"/>
    <w:rsid w:val="007F457F"/>
    <w:rsid w:val="007F4FDC"/>
    <w:rsid w:val="007F568B"/>
    <w:rsid w:val="007F56C2"/>
    <w:rsid w:val="007F5D5F"/>
    <w:rsid w:val="007F7C32"/>
    <w:rsid w:val="00803CD0"/>
    <w:rsid w:val="0080434B"/>
    <w:rsid w:val="00804849"/>
    <w:rsid w:val="00804E53"/>
    <w:rsid w:val="00806F01"/>
    <w:rsid w:val="008073A4"/>
    <w:rsid w:val="00807AAA"/>
    <w:rsid w:val="00807D66"/>
    <w:rsid w:val="00810875"/>
    <w:rsid w:val="00810BD2"/>
    <w:rsid w:val="0081116D"/>
    <w:rsid w:val="008113D6"/>
    <w:rsid w:val="00811502"/>
    <w:rsid w:val="00813870"/>
    <w:rsid w:val="00815139"/>
    <w:rsid w:val="00815DAB"/>
    <w:rsid w:val="00820855"/>
    <w:rsid w:val="0082282A"/>
    <w:rsid w:val="0082555C"/>
    <w:rsid w:val="00825ED8"/>
    <w:rsid w:val="00826AE2"/>
    <w:rsid w:val="008334EA"/>
    <w:rsid w:val="00837E77"/>
    <w:rsid w:val="0084080D"/>
    <w:rsid w:val="00841902"/>
    <w:rsid w:val="008423C1"/>
    <w:rsid w:val="0084423C"/>
    <w:rsid w:val="0084478E"/>
    <w:rsid w:val="00845237"/>
    <w:rsid w:val="0084566C"/>
    <w:rsid w:val="0084633A"/>
    <w:rsid w:val="008463DA"/>
    <w:rsid w:val="00846BA7"/>
    <w:rsid w:val="0084703B"/>
    <w:rsid w:val="0084712E"/>
    <w:rsid w:val="0085082A"/>
    <w:rsid w:val="00853AB1"/>
    <w:rsid w:val="00853BE7"/>
    <w:rsid w:val="0085425D"/>
    <w:rsid w:val="00854B30"/>
    <w:rsid w:val="008551DD"/>
    <w:rsid w:val="00860235"/>
    <w:rsid w:val="008612D6"/>
    <w:rsid w:val="00863503"/>
    <w:rsid w:val="0086499E"/>
    <w:rsid w:val="0086626F"/>
    <w:rsid w:val="008663D3"/>
    <w:rsid w:val="00870257"/>
    <w:rsid w:val="008704E7"/>
    <w:rsid w:val="008722CE"/>
    <w:rsid w:val="0087264B"/>
    <w:rsid w:val="008728BD"/>
    <w:rsid w:val="00873093"/>
    <w:rsid w:val="00874A7F"/>
    <w:rsid w:val="00876465"/>
    <w:rsid w:val="00880BCB"/>
    <w:rsid w:val="00880C9F"/>
    <w:rsid w:val="00880D19"/>
    <w:rsid w:val="00882746"/>
    <w:rsid w:val="00882837"/>
    <w:rsid w:val="00885657"/>
    <w:rsid w:val="00886900"/>
    <w:rsid w:val="00887D3B"/>
    <w:rsid w:val="008906B0"/>
    <w:rsid w:val="008919EA"/>
    <w:rsid w:val="00891A35"/>
    <w:rsid w:val="008929F1"/>
    <w:rsid w:val="00892E83"/>
    <w:rsid w:val="00892E93"/>
    <w:rsid w:val="00893F1F"/>
    <w:rsid w:val="008945C3"/>
    <w:rsid w:val="00894BF9"/>
    <w:rsid w:val="00895C67"/>
    <w:rsid w:val="00895F0E"/>
    <w:rsid w:val="0089673D"/>
    <w:rsid w:val="00896877"/>
    <w:rsid w:val="00896AF8"/>
    <w:rsid w:val="00897B9E"/>
    <w:rsid w:val="00897EB1"/>
    <w:rsid w:val="008A03E3"/>
    <w:rsid w:val="008A2C68"/>
    <w:rsid w:val="008A60B6"/>
    <w:rsid w:val="008B0592"/>
    <w:rsid w:val="008B141F"/>
    <w:rsid w:val="008B18D9"/>
    <w:rsid w:val="008B2440"/>
    <w:rsid w:val="008B273D"/>
    <w:rsid w:val="008B2C81"/>
    <w:rsid w:val="008B2F8C"/>
    <w:rsid w:val="008B3AB6"/>
    <w:rsid w:val="008B4D33"/>
    <w:rsid w:val="008B5145"/>
    <w:rsid w:val="008B550C"/>
    <w:rsid w:val="008B730D"/>
    <w:rsid w:val="008B7BC8"/>
    <w:rsid w:val="008C08D3"/>
    <w:rsid w:val="008C12B2"/>
    <w:rsid w:val="008C3882"/>
    <w:rsid w:val="008C67BD"/>
    <w:rsid w:val="008C694F"/>
    <w:rsid w:val="008C7B46"/>
    <w:rsid w:val="008D1239"/>
    <w:rsid w:val="008D1A14"/>
    <w:rsid w:val="008D2493"/>
    <w:rsid w:val="008D54DB"/>
    <w:rsid w:val="008E1DDA"/>
    <w:rsid w:val="008E2622"/>
    <w:rsid w:val="008E2C5C"/>
    <w:rsid w:val="008E3530"/>
    <w:rsid w:val="008E4FCB"/>
    <w:rsid w:val="008E5225"/>
    <w:rsid w:val="008E564B"/>
    <w:rsid w:val="008E622B"/>
    <w:rsid w:val="008E655B"/>
    <w:rsid w:val="008F0532"/>
    <w:rsid w:val="008F066C"/>
    <w:rsid w:val="008F1507"/>
    <w:rsid w:val="008F198B"/>
    <w:rsid w:val="008F25E8"/>
    <w:rsid w:val="008F7FF4"/>
    <w:rsid w:val="00903327"/>
    <w:rsid w:val="009033E1"/>
    <w:rsid w:val="00904876"/>
    <w:rsid w:val="0090680C"/>
    <w:rsid w:val="00906E21"/>
    <w:rsid w:val="00907734"/>
    <w:rsid w:val="009077A1"/>
    <w:rsid w:val="00907BF3"/>
    <w:rsid w:val="00910209"/>
    <w:rsid w:val="009150DA"/>
    <w:rsid w:val="00917598"/>
    <w:rsid w:val="009175DC"/>
    <w:rsid w:val="00917DC8"/>
    <w:rsid w:val="0092166C"/>
    <w:rsid w:val="00921B3A"/>
    <w:rsid w:val="009222AF"/>
    <w:rsid w:val="00923489"/>
    <w:rsid w:val="009258EB"/>
    <w:rsid w:val="009264C7"/>
    <w:rsid w:val="00926F55"/>
    <w:rsid w:val="00927355"/>
    <w:rsid w:val="00927AD8"/>
    <w:rsid w:val="00927F24"/>
    <w:rsid w:val="00931B4D"/>
    <w:rsid w:val="00933578"/>
    <w:rsid w:val="00934843"/>
    <w:rsid w:val="00934E6E"/>
    <w:rsid w:val="00934F5A"/>
    <w:rsid w:val="00935F25"/>
    <w:rsid w:val="0094282A"/>
    <w:rsid w:val="00942CBD"/>
    <w:rsid w:val="0094300A"/>
    <w:rsid w:val="00943D86"/>
    <w:rsid w:val="0094500B"/>
    <w:rsid w:val="00947B9F"/>
    <w:rsid w:val="00951A21"/>
    <w:rsid w:val="00954629"/>
    <w:rsid w:val="009546E6"/>
    <w:rsid w:val="00954CFA"/>
    <w:rsid w:val="00955C30"/>
    <w:rsid w:val="009562E2"/>
    <w:rsid w:val="00956DE4"/>
    <w:rsid w:val="009668B8"/>
    <w:rsid w:val="0096717D"/>
    <w:rsid w:val="0096751C"/>
    <w:rsid w:val="009679E4"/>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4FCC"/>
    <w:rsid w:val="00985A1E"/>
    <w:rsid w:val="00985A93"/>
    <w:rsid w:val="00987724"/>
    <w:rsid w:val="009923C8"/>
    <w:rsid w:val="00993116"/>
    <w:rsid w:val="00994264"/>
    <w:rsid w:val="00995C95"/>
    <w:rsid w:val="00997A4E"/>
    <w:rsid w:val="00997F54"/>
    <w:rsid w:val="009A01AF"/>
    <w:rsid w:val="009A0E2B"/>
    <w:rsid w:val="009A172D"/>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00C2"/>
    <w:rsid w:val="009C54AE"/>
    <w:rsid w:val="009C721A"/>
    <w:rsid w:val="009C7FA7"/>
    <w:rsid w:val="009D078C"/>
    <w:rsid w:val="009D143E"/>
    <w:rsid w:val="009D211C"/>
    <w:rsid w:val="009D2321"/>
    <w:rsid w:val="009D2A8B"/>
    <w:rsid w:val="009D3862"/>
    <w:rsid w:val="009D3883"/>
    <w:rsid w:val="009D56B7"/>
    <w:rsid w:val="009D5E67"/>
    <w:rsid w:val="009D5E95"/>
    <w:rsid w:val="009D6DB8"/>
    <w:rsid w:val="009D7A28"/>
    <w:rsid w:val="009E0AC1"/>
    <w:rsid w:val="009E0E9F"/>
    <w:rsid w:val="009E35B7"/>
    <w:rsid w:val="009E4666"/>
    <w:rsid w:val="009E4B8F"/>
    <w:rsid w:val="009E4CB9"/>
    <w:rsid w:val="009E596F"/>
    <w:rsid w:val="009E640E"/>
    <w:rsid w:val="009F0869"/>
    <w:rsid w:val="009F1B51"/>
    <w:rsid w:val="009F1BB9"/>
    <w:rsid w:val="009F1D1C"/>
    <w:rsid w:val="009F3086"/>
    <w:rsid w:val="009F362F"/>
    <w:rsid w:val="009F373D"/>
    <w:rsid w:val="009F5040"/>
    <w:rsid w:val="009F644C"/>
    <w:rsid w:val="009F7B23"/>
    <w:rsid w:val="00A00617"/>
    <w:rsid w:val="00A0064F"/>
    <w:rsid w:val="00A03212"/>
    <w:rsid w:val="00A03805"/>
    <w:rsid w:val="00A03839"/>
    <w:rsid w:val="00A04D82"/>
    <w:rsid w:val="00A0581E"/>
    <w:rsid w:val="00A100D4"/>
    <w:rsid w:val="00A10285"/>
    <w:rsid w:val="00A10F61"/>
    <w:rsid w:val="00A12275"/>
    <w:rsid w:val="00A12586"/>
    <w:rsid w:val="00A12AD7"/>
    <w:rsid w:val="00A1377D"/>
    <w:rsid w:val="00A16A44"/>
    <w:rsid w:val="00A1705B"/>
    <w:rsid w:val="00A1751A"/>
    <w:rsid w:val="00A21305"/>
    <w:rsid w:val="00A219FB"/>
    <w:rsid w:val="00A23EB1"/>
    <w:rsid w:val="00A245DD"/>
    <w:rsid w:val="00A25A90"/>
    <w:rsid w:val="00A25CDE"/>
    <w:rsid w:val="00A3094F"/>
    <w:rsid w:val="00A32A62"/>
    <w:rsid w:val="00A32D0C"/>
    <w:rsid w:val="00A350E9"/>
    <w:rsid w:val="00A356C5"/>
    <w:rsid w:val="00A35991"/>
    <w:rsid w:val="00A3612D"/>
    <w:rsid w:val="00A4223D"/>
    <w:rsid w:val="00A44480"/>
    <w:rsid w:val="00A44E65"/>
    <w:rsid w:val="00A46F5D"/>
    <w:rsid w:val="00A474D2"/>
    <w:rsid w:val="00A474F8"/>
    <w:rsid w:val="00A50539"/>
    <w:rsid w:val="00A50DA0"/>
    <w:rsid w:val="00A5117B"/>
    <w:rsid w:val="00A53145"/>
    <w:rsid w:val="00A53E54"/>
    <w:rsid w:val="00A54BEB"/>
    <w:rsid w:val="00A5587B"/>
    <w:rsid w:val="00A56FCC"/>
    <w:rsid w:val="00A57582"/>
    <w:rsid w:val="00A60431"/>
    <w:rsid w:val="00A61063"/>
    <w:rsid w:val="00A61331"/>
    <w:rsid w:val="00A614BB"/>
    <w:rsid w:val="00A63C29"/>
    <w:rsid w:val="00A63F98"/>
    <w:rsid w:val="00A663F5"/>
    <w:rsid w:val="00A66542"/>
    <w:rsid w:val="00A67884"/>
    <w:rsid w:val="00A704CA"/>
    <w:rsid w:val="00A70F38"/>
    <w:rsid w:val="00A7397C"/>
    <w:rsid w:val="00A73A49"/>
    <w:rsid w:val="00A7484E"/>
    <w:rsid w:val="00A74A33"/>
    <w:rsid w:val="00A74D38"/>
    <w:rsid w:val="00A75949"/>
    <w:rsid w:val="00A779FB"/>
    <w:rsid w:val="00A8048C"/>
    <w:rsid w:val="00A80968"/>
    <w:rsid w:val="00A816AA"/>
    <w:rsid w:val="00A82111"/>
    <w:rsid w:val="00A8312D"/>
    <w:rsid w:val="00A83E49"/>
    <w:rsid w:val="00A84143"/>
    <w:rsid w:val="00A85CC6"/>
    <w:rsid w:val="00A90563"/>
    <w:rsid w:val="00A9201E"/>
    <w:rsid w:val="00A93DBF"/>
    <w:rsid w:val="00A94340"/>
    <w:rsid w:val="00A943AA"/>
    <w:rsid w:val="00A94BF2"/>
    <w:rsid w:val="00A94EC8"/>
    <w:rsid w:val="00A964A0"/>
    <w:rsid w:val="00A96DF7"/>
    <w:rsid w:val="00A97C6B"/>
    <w:rsid w:val="00AA42B3"/>
    <w:rsid w:val="00AA475C"/>
    <w:rsid w:val="00AA4C65"/>
    <w:rsid w:val="00AA600B"/>
    <w:rsid w:val="00AA70BC"/>
    <w:rsid w:val="00AB0762"/>
    <w:rsid w:val="00AB0DB7"/>
    <w:rsid w:val="00AB0EA8"/>
    <w:rsid w:val="00AB2126"/>
    <w:rsid w:val="00AB50D9"/>
    <w:rsid w:val="00AB531C"/>
    <w:rsid w:val="00AB537C"/>
    <w:rsid w:val="00AB64AA"/>
    <w:rsid w:val="00AB6D56"/>
    <w:rsid w:val="00AB7603"/>
    <w:rsid w:val="00AC0699"/>
    <w:rsid w:val="00AC259E"/>
    <w:rsid w:val="00AC4364"/>
    <w:rsid w:val="00AC50CA"/>
    <w:rsid w:val="00AC646F"/>
    <w:rsid w:val="00AC682B"/>
    <w:rsid w:val="00AC6CF4"/>
    <w:rsid w:val="00AC7005"/>
    <w:rsid w:val="00AC79C6"/>
    <w:rsid w:val="00AC7D91"/>
    <w:rsid w:val="00AD0954"/>
    <w:rsid w:val="00AD13D8"/>
    <w:rsid w:val="00AD16C8"/>
    <w:rsid w:val="00AD2671"/>
    <w:rsid w:val="00AD3CA7"/>
    <w:rsid w:val="00AD4472"/>
    <w:rsid w:val="00AD460D"/>
    <w:rsid w:val="00AD69BF"/>
    <w:rsid w:val="00AD7211"/>
    <w:rsid w:val="00AD747D"/>
    <w:rsid w:val="00AE06DB"/>
    <w:rsid w:val="00AE0882"/>
    <w:rsid w:val="00AE15B3"/>
    <w:rsid w:val="00AE1AA8"/>
    <w:rsid w:val="00AE1E44"/>
    <w:rsid w:val="00AE2733"/>
    <w:rsid w:val="00AE2E2A"/>
    <w:rsid w:val="00AE2EB5"/>
    <w:rsid w:val="00AE32E6"/>
    <w:rsid w:val="00AE5D25"/>
    <w:rsid w:val="00AE67CE"/>
    <w:rsid w:val="00AE7394"/>
    <w:rsid w:val="00AF0D2A"/>
    <w:rsid w:val="00AF3453"/>
    <w:rsid w:val="00AF3856"/>
    <w:rsid w:val="00AF38F4"/>
    <w:rsid w:val="00AF4C5C"/>
    <w:rsid w:val="00AF4F60"/>
    <w:rsid w:val="00AF684A"/>
    <w:rsid w:val="00AF6DB2"/>
    <w:rsid w:val="00B0190A"/>
    <w:rsid w:val="00B037C4"/>
    <w:rsid w:val="00B045E1"/>
    <w:rsid w:val="00B04F51"/>
    <w:rsid w:val="00B068ED"/>
    <w:rsid w:val="00B07AC8"/>
    <w:rsid w:val="00B10606"/>
    <w:rsid w:val="00B11050"/>
    <w:rsid w:val="00B11BF6"/>
    <w:rsid w:val="00B12694"/>
    <w:rsid w:val="00B1405C"/>
    <w:rsid w:val="00B14614"/>
    <w:rsid w:val="00B158FA"/>
    <w:rsid w:val="00B15C45"/>
    <w:rsid w:val="00B1608D"/>
    <w:rsid w:val="00B161C5"/>
    <w:rsid w:val="00B16B67"/>
    <w:rsid w:val="00B17984"/>
    <w:rsid w:val="00B17FCC"/>
    <w:rsid w:val="00B2129F"/>
    <w:rsid w:val="00B2138C"/>
    <w:rsid w:val="00B21EC6"/>
    <w:rsid w:val="00B23076"/>
    <w:rsid w:val="00B2341E"/>
    <w:rsid w:val="00B2484B"/>
    <w:rsid w:val="00B24A00"/>
    <w:rsid w:val="00B25439"/>
    <w:rsid w:val="00B30102"/>
    <w:rsid w:val="00B310C0"/>
    <w:rsid w:val="00B31540"/>
    <w:rsid w:val="00B31606"/>
    <w:rsid w:val="00B324DF"/>
    <w:rsid w:val="00B32D35"/>
    <w:rsid w:val="00B3399A"/>
    <w:rsid w:val="00B33E8A"/>
    <w:rsid w:val="00B367C9"/>
    <w:rsid w:val="00B408D6"/>
    <w:rsid w:val="00B427F7"/>
    <w:rsid w:val="00B45B55"/>
    <w:rsid w:val="00B47763"/>
    <w:rsid w:val="00B501EC"/>
    <w:rsid w:val="00B50C54"/>
    <w:rsid w:val="00B50C71"/>
    <w:rsid w:val="00B510CB"/>
    <w:rsid w:val="00B5120C"/>
    <w:rsid w:val="00B525CC"/>
    <w:rsid w:val="00B5293E"/>
    <w:rsid w:val="00B533A7"/>
    <w:rsid w:val="00B53626"/>
    <w:rsid w:val="00B54DD4"/>
    <w:rsid w:val="00B553F1"/>
    <w:rsid w:val="00B55D27"/>
    <w:rsid w:val="00B55EFA"/>
    <w:rsid w:val="00B56073"/>
    <w:rsid w:val="00B5647A"/>
    <w:rsid w:val="00B60E61"/>
    <w:rsid w:val="00B619A3"/>
    <w:rsid w:val="00B621C9"/>
    <w:rsid w:val="00B6421D"/>
    <w:rsid w:val="00B648B0"/>
    <w:rsid w:val="00B64B70"/>
    <w:rsid w:val="00B64EF1"/>
    <w:rsid w:val="00B65217"/>
    <w:rsid w:val="00B65229"/>
    <w:rsid w:val="00B66140"/>
    <w:rsid w:val="00B67956"/>
    <w:rsid w:val="00B67D9E"/>
    <w:rsid w:val="00B735BE"/>
    <w:rsid w:val="00B7364A"/>
    <w:rsid w:val="00B75E7C"/>
    <w:rsid w:val="00B7689D"/>
    <w:rsid w:val="00B80207"/>
    <w:rsid w:val="00B81D95"/>
    <w:rsid w:val="00B83757"/>
    <w:rsid w:val="00B83DE8"/>
    <w:rsid w:val="00B83E19"/>
    <w:rsid w:val="00B85411"/>
    <w:rsid w:val="00B85F88"/>
    <w:rsid w:val="00B86B2D"/>
    <w:rsid w:val="00B87415"/>
    <w:rsid w:val="00B87662"/>
    <w:rsid w:val="00B901D2"/>
    <w:rsid w:val="00B90DE8"/>
    <w:rsid w:val="00B92741"/>
    <w:rsid w:val="00B929BC"/>
    <w:rsid w:val="00B92A67"/>
    <w:rsid w:val="00B94B68"/>
    <w:rsid w:val="00B95691"/>
    <w:rsid w:val="00B95E2F"/>
    <w:rsid w:val="00B978BD"/>
    <w:rsid w:val="00B979BA"/>
    <w:rsid w:val="00BA00FF"/>
    <w:rsid w:val="00BA0E38"/>
    <w:rsid w:val="00BA1F48"/>
    <w:rsid w:val="00BA43EB"/>
    <w:rsid w:val="00BA5F85"/>
    <w:rsid w:val="00BA6C50"/>
    <w:rsid w:val="00BA75F8"/>
    <w:rsid w:val="00BA767D"/>
    <w:rsid w:val="00BB0826"/>
    <w:rsid w:val="00BB3552"/>
    <w:rsid w:val="00BB607D"/>
    <w:rsid w:val="00BB76F9"/>
    <w:rsid w:val="00BC06D9"/>
    <w:rsid w:val="00BC2EDA"/>
    <w:rsid w:val="00BC48C0"/>
    <w:rsid w:val="00BC50E0"/>
    <w:rsid w:val="00BC5A14"/>
    <w:rsid w:val="00BC6481"/>
    <w:rsid w:val="00BC6B5A"/>
    <w:rsid w:val="00BC7106"/>
    <w:rsid w:val="00BC781B"/>
    <w:rsid w:val="00BC7D68"/>
    <w:rsid w:val="00BD2FBB"/>
    <w:rsid w:val="00BD323C"/>
    <w:rsid w:val="00BD4C26"/>
    <w:rsid w:val="00BD5771"/>
    <w:rsid w:val="00BD7A06"/>
    <w:rsid w:val="00BD7C9D"/>
    <w:rsid w:val="00BE2852"/>
    <w:rsid w:val="00BE2A83"/>
    <w:rsid w:val="00BE4BC8"/>
    <w:rsid w:val="00BE4D81"/>
    <w:rsid w:val="00BE57AE"/>
    <w:rsid w:val="00BE5C58"/>
    <w:rsid w:val="00BE6485"/>
    <w:rsid w:val="00BE710E"/>
    <w:rsid w:val="00BF082B"/>
    <w:rsid w:val="00BF08A2"/>
    <w:rsid w:val="00BF0BA7"/>
    <w:rsid w:val="00BF1437"/>
    <w:rsid w:val="00BF1A30"/>
    <w:rsid w:val="00BF25D3"/>
    <w:rsid w:val="00BF2B7C"/>
    <w:rsid w:val="00BF3BA4"/>
    <w:rsid w:val="00BF4689"/>
    <w:rsid w:val="00BF5647"/>
    <w:rsid w:val="00BF728A"/>
    <w:rsid w:val="00C0059E"/>
    <w:rsid w:val="00C00F13"/>
    <w:rsid w:val="00C018F6"/>
    <w:rsid w:val="00C025AB"/>
    <w:rsid w:val="00C03610"/>
    <w:rsid w:val="00C04235"/>
    <w:rsid w:val="00C042B3"/>
    <w:rsid w:val="00C047DD"/>
    <w:rsid w:val="00C05952"/>
    <w:rsid w:val="00C05D4C"/>
    <w:rsid w:val="00C075FA"/>
    <w:rsid w:val="00C07772"/>
    <w:rsid w:val="00C11DEF"/>
    <w:rsid w:val="00C152CA"/>
    <w:rsid w:val="00C15FE1"/>
    <w:rsid w:val="00C20B8F"/>
    <w:rsid w:val="00C20B9A"/>
    <w:rsid w:val="00C219D5"/>
    <w:rsid w:val="00C21EA0"/>
    <w:rsid w:val="00C223FE"/>
    <w:rsid w:val="00C2308D"/>
    <w:rsid w:val="00C23183"/>
    <w:rsid w:val="00C244BD"/>
    <w:rsid w:val="00C2562B"/>
    <w:rsid w:val="00C25E8A"/>
    <w:rsid w:val="00C278C9"/>
    <w:rsid w:val="00C30416"/>
    <w:rsid w:val="00C30A6F"/>
    <w:rsid w:val="00C30B3E"/>
    <w:rsid w:val="00C30DF3"/>
    <w:rsid w:val="00C318DE"/>
    <w:rsid w:val="00C33453"/>
    <w:rsid w:val="00C355E5"/>
    <w:rsid w:val="00C401DE"/>
    <w:rsid w:val="00C405C9"/>
    <w:rsid w:val="00C4392B"/>
    <w:rsid w:val="00C44850"/>
    <w:rsid w:val="00C460E4"/>
    <w:rsid w:val="00C463DC"/>
    <w:rsid w:val="00C47B74"/>
    <w:rsid w:val="00C5050F"/>
    <w:rsid w:val="00C50F47"/>
    <w:rsid w:val="00C52198"/>
    <w:rsid w:val="00C524B6"/>
    <w:rsid w:val="00C531FA"/>
    <w:rsid w:val="00C53B05"/>
    <w:rsid w:val="00C53B8B"/>
    <w:rsid w:val="00C5603A"/>
    <w:rsid w:val="00C5762D"/>
    <w:rsid w:val="00C5795F"/>
    <w:rsid w:val="00C60B18"/>
    <w:rsid w:val="00C60D20"/>
    <w:rsid w:val="00C619DC"/>
    <w:rsid w:val="00C622B6"/>
    <w:rsid w:val="00C64576"/>
    <w:rsid w:val="00C64FB1"/>
    <w:rsid w:val="00C67650"/>
    <w:rsid w:val="00C70219"/>
    <w:rsid w:val="00C706D8"/>
    <w:rsid w:val="00C70A2B"/>
    <w:rsid w:val="00C7231A"/>
    <w:rsid w:val="00C734E4"/>
    <w:rsid w:val="00C74896"/>
    <w:rsid w:val="00C74B5A"/>
    <w:rsid w:val="00C75BF1"/>
    <w:rsid w:val="00C76E4B"/>
    <w:rsid w:val="00C7786D"/>
    <w:rsid w:val="00C80319"/>
    <w:rsid w:val="00C81A12"/>
    <w:rsid w:val="00C81C69"/>
    <w:rsid w:val="00C83DD4"/>
    <w:rsid w:val="00C85BFF"/>
    <w:rsid w:val="00C873A4"/>
    <w:rsid w:val="00C90EA9"/>
    <w:rsid w:val="00C95310"/>
    <w:rsid w:val="00CA0D4F"/>
    <w:rsid w:val="00CA1224"/>
    <w:rsid w:val="00CA1397"/>
    <w:rsid w:val="00CA519E"/>
    <w:rsid w:val="00CA7DE4"/>
    <w:rsid w:val="00CB165F"/>
    <w:rsid w:val="00CB18A2"/>
    <w:rsid w:val="00CB2FE4"/>
    <w:rsid w:val="00CB3621"/>
    <w:rsid w:val="00CB4A68"/>
    <w:rsid w:val="00CC1380"/>
    <w:rsid w:val="00CC47FF"/>
    <w:rsid w:val="00CC4B2C"/>
    <w:rsid w:val="00CC7D91"/>
    <w:rsid w:val="00CD08DD"/>
    <w:rsid w:val="00CD1A96"/>
    <w:rsid w:val="00CD2824"/>
    <w:rsid w:val="00CD2BB2"/>
    <w:rsid w:val="00CD4E9F"/>
    <w:rsid w:val="00CD6203"/>
    <w:rsid w:val="00CD7641"/>
    <w:rsid w:val="00CE05DB"/>
    <w:rsid w:val="00CE0777"/>
    <w:rsid w:val="00CE1474"/>
    <w:rsid w:val="00CE2393"/>
    <w:rsid w:val="00CE26D7"/>
    <w:rsid w:val="00CE2E2F"/>
    <w:rsid w:val="00CE36F1"/>
    <w:rsid w:val="00CE380B"/>
    <w:rsid w:val="00CE3FF2"/>
    <w:rsid w:val="00CE5260"/>
    <w:rsid w:val="00CE56AB"/>
    <w:rsid w:val="00CE6395"/>
    <w:rsid w:val="00CE6BE3"/>
    <w:rsid w:val="00CE7641"/>
    <w:rsid w:val="00CE77D7"/>
    <w:rsid w:val="00CF0FFD"/>
    <w:rsid w:val="00CF4162"/>
    <w:rsid w:val="00CF4528"/>
    <w:rsid w:val="00CF59D2"/>
    <w:rsid w:val="00CF74B8"/>
    <w:rsid w:val="00D01374"/>
    <w:rsid w:val="00D02E0E"/>
    <w:rsid w:val="00D03028"/>
    <w:rsid w:val="00D030AA"/>
    <w:rsid w:val="00D05292"/>
    <w:rsid w:val="00D05363"/>
    <w:rsid w:val="00D05C99"/>
    <w:rsid w:val="00D07E6C"/>
    <w:rsid w:val="00D125AC"/>
    <w:rsid w:val="00D12F91"/>
    <w:rsid w:val="00D13E2D"/>
    <w:rsid w:val="00D14AAA"/>
    <w:rsid w:val="00D155DC"/>
    <w:rsid w:val="00D15C7E"/>
    <w:rsid w:val="00D17DBC"/>
    <w:rsid w:val="00D20D5C"/>
    <w:rsid w:val="00D21EDC"/>
    <w:rsid w:val="00D23502"/>
    <w:rsid w:val="00D237CA"/>
    <w:rsid w:val="00D237D5"/>
    <w:rsid w:val="00D242BD"/>
    <w:rsid w:val="00D2545E"/>
    <w:rsid w:val="00D256F9"/>
    <w:rsid w:val="00D263F3"/>
    <w:rsid w:val="00D2714E"/>
    <w:rsid w:val="00D3123C"/>
    <w:rsid w:val="00D336EC"/>
    <w:rsid w:val="00D3373B"/>
    <w:rsid w:val="00D34071"/>
    <w:rsid w:val="00D34AAF"/>
    <w:rsid w:val="00D36E59"/>
    <w:rsid w:val="00D40367"/>
    <w:rsid w:val="00D40956"/>
    <w:rsid w:val="00D43162"/>
    <w:rsid w:val="00D43D7C"/>
    <w:rsid w:val="00D44FB4"/>
    <w:rsid w:val="00D4527D"/>
    <w:rsid w:val="00D46872"/>
    <w:rsid w:val="00D46BED"/>
    <w:rsid w:val="00D46DD0"/>
    <w:rsid w:val="00D47142"/>
    <w:rsid w:val="00D51D58"/>
    <w:rsid w:val="00D53476"/>
    <w:rsid w:val="00D53D4E"/>
    <w:rsid w:val="00D55309"/>
    <w:rsid w:val="00D567D8"/>
    <w:rsid w:val="00D56A56"/>
    <w:rsid w:val="00D56C2F"/>
    <w:rsid w:val="00D57845"/>
    <w:rsid w:val="00D60014"/>
    <w:rsid w:val="00D601BE"/>
    <w:rsid w:val="00D60F62"/>
    <w:rsid w:val="00D624FA"/>
    <w:rsid w:val="00D643A6"/>
    <w:rsid w:val="00D648DD"/>
    <w:rsid w:val="00D6587D"/>
    <w:rsid w:val="00D66F15"/>
    <w:rsid w:val="00D66F7F"/>
    <w:rsid w:val="00D719BC"/>
    <w:rsid w:val="00D71C76"/>
    <w:rsid w:val="00D7210F"/>
    <w:rsid w:val="00D72DDC"/>
    <w:rsid w:val="00D73733"/>
    <w:rsid w:val="00D747D3"/>
    <w:rsid w:val="00D761A3"/>
    <w:rsid w:val="00D76873"/>
    <w:rsid w:val="00D8078E"/>
    <w:rsid w:val="00D8377A"/>
    <w:rsid w:val="00D83D65"/>
    <w:rsid w:val="00D84ED5"/>
    <w:rsid w:val="00D85B18"/>
    <w:rsid w:val="00D85ED0"/>
    <w:rsid w:val="00D874D3"/>
    <w:rsid w:val="00D87815"/>
    <w:rsid w:val="00D900A0"/>
    <w:rsid w:val="00D93BE8"/>
    <w:rsid w:val="00D93F81"/>
    <w:rsid w:val="00D94428"/>
    <w:rsid w:val="00D94683"/>
    <w:rsid w:val="00D952CE"/>
    <w:rsid w:val="00D9558B"/>
    <w:rsid w:val="00D957E5"/>
    <w:rsid w:val="00D95832"/>
    <w:rsid w:val="00D965A7"/>
    <w:rsid w:val="00D96ABF"/>
    <w:rsid w:val="00D979E5"/>
    <w:rsid w:val="00DA1DA5"/>
    <w:rsid w:val="00DA39F0"/>
    <w:rsid w:val="00DA499D"/>
    <w:rsid w:val="00DA4A8E"/>
    <w:rsid w:val="00DA52DE"/>
    <w:rsid w:val="00DA673D"/>
    <w:rsid w:val="00DB15E7"/>
    <w:rsid w:val="00DB1B75"/>
    <w:rsid w:val="00DB3214"/>
    <w:rsid w:val="00DB7338"/>
    <w:rsid w:val="00DB7D09"/>
    <w:rsid w:val="00DB7FF7"/>
    <w:rsid w:val="00DC161E"/>
    <w:rsid w:val="00DC1DD2"/>
    <w:rsid w:val="00DC27A3"/>
    <w:rsid w:val="00DC4412"/>
    <w:rsid w:val="00DC4F79"/>
    <w:rsid w:val="00DC700B"/>
    <w:rsid w:val="00DC7BA5"/>
    <w:rsid w:val="00DD02DE"/>
    <w:rsid w:val="00DD1630"/>
    <w:rsid w:val="00DD2160"/>
    <w:rsid w:val="00DD409B"/>
    <w:rsid w:val="00DD5611"/>
    <w:rsid w:val="00DD5986"/>
    <w:rsid w:val="00DD5FBD"/>
    <w:rsid w:val="00DD7C60"/>
    <w:rsid w:val="00DE07A3"/>
    <w:rsid w:val="00DE109C"/>
    <w:rsid w:val="00DE2590"/>
    <w:rsid w:val="00DE28F7"/>
    <w:rsid w:val="00DE4286"/>
    <w:rsid w:val="00DE52B1"/>
    <w:rsid w:val="00DE60E8"/>
    <w:rsid w:val="00DE7687"/>
    <w:rsid w:val="00DE7FC8"/>
    <w:rsid w:val="00DF1DD2"/>
    <w:rsid w:val="00DF35FC"/>
    <w:rsid w:val="00DF36BF"/>
    <w:rsid w:val="00DF4C2E"/>
    <w:rsid w:val="00DF5546"/>
    <w:rsid w:val="00DF5806"/>
    <w:rsid w:val="00E015F4"/>
    <w:rsid w:val="00E02C7F"/>
    <w:rsid w:val="00E045EB"/>
    <w:rsid w:val="00E04FA7"/>
    <w:rsid w:val="00E05692"/>
    <w:rsid w:val="00E05729"/>
    <w:rsid w:val="00E068EF"/>
    <w:rsid w:val="00E07DDF"/>
    <w:rsid w:val="00E106CC"/>
    <w:rsid w:val="00E10856"/>
    <w:rsid w:val="00E13439"/>
    <w:rsid w:val="00E1411C"/>
    <w:rsid w:val="00E14889"/>
    <w:rsid w:val="00E14B57"/>
    <w:rsid w:val="00E17897"/>
    <w:rsid w:val="00E20878"/>
    <w:rsid w:val="00E20A48"/>
    <w:rsid w:val="00E212CD"/>
    <w:rsid w:val="00E2161F"/>
    <w:rsid w:val="00E23D5C"/>
    <w:rsid w:val="00E26838"/>
    <w:rsid w:val="00E27A1A"/>
    <w:rsid w:val="00E27CD0"/>
    <w:rsid w:val="00E27F4A"/>
    <w:rsid w:val="00E30092"/>
    <w:rsid w:val="00E306FA"/>
    <w:rsid w:val="00E30F8E"/>
    <w:rsid w:val="00E3226A"/>
    <w:rsid w:val="00E33135"/>
    <w:rsid w:val="00E350DA"/>
    <w:rsid w:val="00E40C89"/>
    <w:rsid w:val="00E422C4"/>
    <w:rsid w:val="00E44314"/>
    <w:rsid w:val="00E46F0A"/>
    <w:rsid w:val="00E5094F"/>
    <w:rsid w:val="00E51850"/>
    <w:rsid w:val="00E52A27"/>
    <w:rsid w:val="00E52A65"/>
    <w:rsid w:val="00E52A78"/>
    <w:rsid w:val="00E54BAE"/>
    <w:rsid w:val="00E5576F"/>
    <w:rsid w:val="00E56B3D"/>
    <w:rsid w:val="00E56DA0"/>
    <w:rsid w:val="00E57BF2"/>
    <w:rsid w:val="00E60509"/>
    <w:rsid w:val="00E605AB"/>
    <w:rsid w:val="00E623C6"/>
    <w:rsid w:val="00E62731"/>
    <w:rsid w:val="00E6464A"/>
    <w:rsid w:val="00E67278"/>
    <w:rsid w:val="00E7083A"/>
    <w:rsid w:val="00E717EE"/>
    <w:rsid w:val="00E72A1E"/>
    <w:rsid w:val="00E7312C"/>
    <w:rsid w:val="00E737B5"/>
    <w:rsid w:val="00E74166"/>
    <w:rsid w:val="00E7530E"/>
    <w:rsid w:val="00E770F5"/>
    <w:rsid w:val="00E77D0D"/>
    <w:rsid w:val="00E80DFC"/>
    <w:rsid w:val="00E8267E"/>
    <w:rsid w:val="00E8334E"/>
    <w:rsid w:val="00E85A70"/>
    <w:rsid w:val="00E86903"/>
    <w:rsid w:val="00E872FE"/>
    <w:rsid w:val="00E90217"/>
    <w:rsid w:val="00E908F2"/>
    <w:rsid w:val="00E90FE4"/>
    <w:rsid w:val="00E91488"/>
    <w:rsid w:val="00E915BD"/>
    <w:rsid w:val="00E91C7B"/>
    <w:rsid w:val="00E93997"/>
    <w:rsid w:val="00E95A8F"/>
    <w:rsid w:val="00E96979"/>
    <w:rsid w:val="00EA0033"/>
    <w:rsid w:val="00EA0F38"/>
    <w:rsid w:val="00EA13AE"/>
    <w:rsid w:val="00EA73EF"/>
    <w:rsid w:val="00EB1831"/>
    <w:rsid w:val="00EB2F2D"/>
    <w:rsid w:val="00EB3C9F"/>
    <w:rsid w:val="00EB3D3C"/>
    <w:rsid w:val="00EB51E7"/>
    <w:rsid w:val="00EB5A34"/>
    <w:rsid w:val="00EB6771"/>
    <w:rsid w:val="00EB6CE4"/>
    <w:rsid w:val="00EB7113"/>
    <w:rsid w:val="00EB7564"/>
    <w:rsid w:val="00EC0278"/>
    <w:rsid w:val="00EC06BA"/>
    <w:rsid w:val="00EC1CA7"/>
    <w:rsid w:val="00EC1D05"/>
    <w:rsid w:val="00EC30D6"/>
    <w:rsid w:val="00EC4F74"/>
    <w:rsid w:val="00EC599B"/>
    <w:rsid w:val="00EC5C40"/>
    <w:rsid w:val="00EC69A8"/>
    <w:rsid w:val="00EC6FEB"/>
    <w:rsid w:val="00EC70F0"/>
    <w:rsid w:val="00ED0581"/>
    <w:rsid w:val="00ED0C20"/>
    <w:rsid w:val="00ED2ACE"/>
    <w:rsid w:val="00ED2D49"/>
    <w:rsid w:val="00ED4BDC"/>
    <w:rsid w:val="00ED4F72"/>
    <w:rsid w:val="00ED76E9"/>
    <w:rsid w:val="00ED7B0C"/>
    <w:rsid w:val="00EE0830"/>
    <w:rsid w:val="00EE121C"/>
    <w:rsid w:val="00EE30ED"/>
    <w:rsid w:val="00EE3525"/>
    <w:rsid w:val="00EE45E3"/>
    <w:rsid w:val="00EE552F"/>
    <w:rsid w:val="00EE6D10"/>
    <w:rsid w:val="00EE6E7F"/>
    <w:rsid w:val="00EE763A"/>
    <w:rsid w:val="00EF155E"/>
    <w:rsid w:val="00EF2FF8"/>
    <w:rsid w:val="00EF3AE0"/>
    <w:rsid w:val="00EF3BB3"/>
    <w:rsid w:val="00EF4797"/>
    <w:rsid w:val="00EF4DCD"/>
    <w:rsid w:val="00EF5A6A"/>
    <w:rsid w:val="00EF62BF"/>
    <w:rsid w:val="00EF7A2E"/>
    <w:rsid w:val="00EF7E82"/>
    <w:rsid w:val="00F01310"/>
    <w:rsid w:val="00F01790"/>
    <w:rsid w:val="00F01BA7"/>
    <w:rsid w:val="00F01BEC"/>
    <w:rsid w:val="00F054DE"/>
    <w:rsid w:val="00F07115"/>
    <w:rsid w:val="00F0753E"/>
    <w:rsid w:val="00F1260F"/>
    <w:rsid w:val="00F12AD1"/>
    <w:rsid w:val="00F12B9C"/>
    <w:rsid w:val="00F12F07"/>
    <w:rsid w:val="00F14147"/>
    <w:rsid w:val="00F148BE"/>
    <w:rsid w:val="00F15E23"/>
    <w:rsid w:val="00F16AA7"/>
    <w:rsid w:val="00F16E09"/>
    <w:rsid w:val="00F16E34"/>
    <w:rsid w:val="00F203C3"/>
    <w:rsid w:val="00F20F82"/>
    <w:rsid w:val="00F2284C"/>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476EF"/>
    <w:rsid w:val="00F502BF"/>
    <w:rsid w:val="00F50AA4"/>
    <w:rsid w:val="00F51060"/>
    <w:rsid w:val="00F51372"/>
    <w:rsid w:val="00F513B2"/>
    <w:rsid w:val="00F516E8"/>
    <w:rsid w:val="00F51B1D"/>
    <w:rsid w:val="00F5236E"/>
    <w:rsid w:val="00F52EEF"/>
    <w:rsid w:val="00F53246"/>
    <w:rsid w:val="00F545A1"/>
    <w:rsid w:val="00F57645"/>
    <w:rsid w:val="00F57E94"/>
    <w:rsid w:val="00F603C8"/>
    <w:rsid w:val="00F60474"/>
    <w:rsid w:val="00F6055A"/>
    <w:rsid w:val="00F61B71"/>
    <w:rsid w:val="00F640C3"/>
    <w:rsid w:val="00F665F5"/>
    <w:rsid w:val="00F66D50"/>
    <w:rsid w:val="00F674BA"/>
    <w:rsid w:val="00F705AE"/>
    <w:rsid w:val="00F72AA8"/>
    <w:rsid w:val="00F74B61"/>
    <w:rsid w:val="00F75B11"/>
    <w:rsid w:val="00F75C6B"/>
    <w:rsid w:val="00F76701"/>
    <w:rsid w:val="00F77659"/>
    <w:rsid w:val="00F80854"/>
    <w:rsid w:val="00F8176E"/>
    <w:rsid w:val="00F82B22"/>
    <w:rsid w:val="00F82D97"/>
    <w:rsid w:val="00F82E5E"/>
    <w:rsid w:val="00F849D0"/>
    <w:rsid w:val="00F8516C"/>
    <w:rsid w:val="00F85910"/>
    <w:rsid w:val="00F867A3"/>
    <w:rsid w:val="00F874BA"/>
    <w:rsid w:val="00F90F9F"/>
    <w:rsid w:val="00F923DE"/>
    <w:rsid w:val="00F929DB"/>
    <w:rsid w:val="00F93C91"/>
    <w:rsid w:val="00F9464B"/>
    <w:rsid w:val="00F95C5B"/>
    <w:rsid w:val="00F961E3"/>
    <w:rsid w:val="00F97788"/>
    <w:rsid w:val="00FA1036"/>
    <w:rsid w:val="00FA24EA"/>
    <w:rsid w:val="00FA28C3"/>
    <w:rsid w:val="00FA2C5B"/>
    <w:rsid w:val="00FA35F6"/>
    <w:rsid w:val="00FA3E01"/>
    <w:rsid w:val="00FA45B1"/>
    <w:rsid w:val="00FB1A96"/>
    <w:rsid w:val="00FB59C1"/>
    <w:rsid w:val="00FB635B"/>
    <w:rsid w:val="00FB7CBA"/>
    <w:rsid w:val="00FC03C1"/>
    <w:rsid w:val="00FC109E"/>
    <w:rsid w:val="00FC1AFA"/>
    <w:rsid w:val="00FC4834"/>
    <w:rsid w:val="00FC6ACF"/>
    <w:rsid w:val="00FC6F67"/>
    <w:rsid w:val="00FC74FD"/>
    <w:rsid w:val="00FD0161"/>
    <w:rsid w:val="00FD0E0C"/>
    <w:rsid w:val="00FD12AD"/>
    <w:rsid w:val="00FD1AA2"/>
    <w:rsid w:val="00FD256F"/>
    <w:rsid w:val="00FD3337"/>
    <w:rsid w:val="00FD37E2"/>
    <w:rsid w:val="00FD49E3"/>
    <w:rsid w:val="00FD50E6"/>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CD6"/>
    <w:rsid w:val="00FF3E3A"/>
    <w:rsid w:val="00FF5408"/>
    <w:rsid w:val="00FF6E03"/>
    <w:rsid w:val="00FF7CF2"/>
    <w:rsid w:val="01301A70"/>
    <w:rsid w:val="01535EBC"/>
    <w:rsid w:val="01A051A5"/>
    <w:rsid w:val="01AD6336"/>
    <w:rsid w:val="01AD73F5"/>
    <w:rsid w:val="01D80251"/>
    <w:rsid w:val="01E3367C"/>
    <w:rsid w:val="01E8211B"/>
    <w:rsid w:val="01ED2F4F"/>
    <w:rsid w:val="021676AC"/>
    <w:rsid w:val="022005DB"/>
    <w:rsid w:val="02863ABB"/>
    <w:rsid w:val="029A6F8B"/>
    <w:rsid w:val="02B61011"/>
    <w:rsid w:val="031E77DD"/>
    <w:rsid w:val="032F2A05"/>
    <w:rsid w:val="033D4C36"/>
    <w:rsid w:val="038627B8"/>
    <w:rsid w:val="03CF5743"/>
    <w:rsid w:val="04115339"/>
    <w:rsid w:val="04122769"/>
    <w:rsid w:val="041B3FB5"/>
    <w:rsid w:val="041F7B82"/>
    <w:rsid w:val="0441000A"/>
    <w:rsid w:val="04424A26"/>
    <w:rsid w:val="04686D89"/>
    <w:rsid w:val="04AD3D87"/>
    <w:rsid w:val="04BC240B"/>
    <w:rsid w:val="04BE3BD3"/>
    <w:rsid w:val="04E57349"/>
    <w:rsid w:val="058F5409"/>
    <w:rsid w:val="05A51DB9"/>
    <w:rsid w:val="05E514FE"/>
    <w:rsid w:val="060B7677"/>
    <w:rsid w:val="061A5313"/>
    <w:rsid w:val="061A69EE"/>
    <w:rsid w:val="06205C30"/>
    <w:rsid w:val="0641548F"/>
    <w:rsid w:val="06492AAF"/>
    <w:rsid w:val="0671338F"/>
    <w:rsid w:val="06742E8C"/>
    <w:rsid w:val="0698417D"/>
    <w:rsid w:val="069D2949"/>
    <w:rsid w:val="06C40896"/>
    <w:rsid w:val="06CD6568"/>
    <w:rsid w:val="06D946F5"/>
    <w:rsid w:val="06FE7FDB"/>
    <w:rsid w:val="070754CD"/>
    <w:rsid w:val="072E7F81"/>
    <w:rsid w:val="0734625B"/>
    <w:rsid w:val="07351825"/>
    <w:rsid w:val="07791F76"/>
    <w:rsid w:val="07975E0D"/>
    <w:rsid w:val="07FA29C5"/>
    <w:rsid w:val="0806057A"/>
    <w:rsid w:val="084A2556"/>
    <w:rsid w:val="087255D0"/>
    <w:rsid w:val="088E4584"/>
    <w:rsid w:val="08A477F9"/>
    <w:rsid w:val="08D02C41"/>
    <w:rsid w:val="08E73A74"/>
    <w:rsid w:val="08E73F86"/>
    <w:rsid w:val="08F243ED"/>
    <w:rsid w:val="08F45AE2"/>
    <w:rsid w:val="092127E1"/>
    <w:rsid w:val="094216B7"/>
    <w:rsid w:val="094F3B76"/>
    <w:rsid w:val="09B01B12"/>
    <w:rsid w:val="09C00431"/>
    <w:rsid w:val="09C02BBF"/>
    <w:rsid w:val="09D62DC2"/>
    <w:rsid w:val="09DD5F7E"/>
    <w:rsid w:val="0A840181"/>
    <w:rsid w:val="0AA76BBF"/>
    <w:rsid w:val="0ABA3196"/>
    <w:rsid w:val="0ABD67A5"/>
    <w:rsid w:val="0AC74C67"/>
    <w:rsid w:val="0AEC4C33"/>
    <w:rsid w:val="0AF81F7D"/>
    <w:rsid w:val="0AF9651E"/>
    <w:rsid w:val="0B035D76"/>
    <w:rsid w:val="0B0D72DF"/>
    <w:rsid w:val="0B532916"/>
    <w:rsid w:val="0BA71F9F"/>
    <w:rsid w:val="0BC24B89"/>
    <w:rsid w:val="0BD3693F"/>
    <w:rsid w:val="0BF608EB"/>
    <w:rsid w:val="0C100BB4"/>
    <w:rsid w:val="0CD8076E"/>
    <w:rsid w:val="0D036359"/>
    <w:rsid w:val="0D3614D2"/>
    <w:rsid w:val="0D4A190D"/>
    <w:rsid w:val="0D4E23A3"/>
    <w:rsid w:val="0D871014"/>
    <w:rsid w:val="0D9A18D0"/>
    <w:rsid w:val="0DD0188F"/>
    <w:rsid w:val="0DE0505C"/>
    <w:rsid w:val="0E264CC8"/>
    <w:rsid w:val="0E6B3D1C"/>
    <w:rsid w:val="0E74349E"/>
    <w:rsid w:val="0E7A371F"/>
    <w:rsid w:val="0E7E64AC"/>
    <w:rsid w:val="0E865C18"/>
    <w:rsid w:val="0E9374EA"/>
    <w:rsid w:val="0EB94892"/>
    <w:rsid w:val="0F012471"/>
    <w:rsid w:val="0F09353F"/>
    <w:rsid w:val="0F2E2D2F"/>
    <w:rsid w:val="0F380138"/>
    <w:rsid w:val="0F4C40F9"/>
    <w:rsid w:val="0F571F81"/>
    <w:rsid w:val="0F5F7948"/>
    <w:rsid w:val="0F991079"/>
    <w:rsid w:val="0FA13584"/>
    <w:rsid w:val="0FA323D2"/>
    <w:rsid w:val="100573B4"/>
    <w:rsid w:val="10BE71C3"/>
    <w:rsid w:val="10F61CD8"/>
    <w:rsid w:val="10FB4A31"/>
    <w:rsid w:val="11337EFB"/>
    <w:rsid w:val="1156214A"/>
    <w:rsid w:val="115713ED"/>
    <w:rsid w:val="11600A16"/>
    <w:rsid w:val="11707147"/>
    <w:rsid w:val="11761878"/>
    <w:rsid w:val="118A635C"/>
    <w:rsid w:val="11D34FC9"/>
    <w:rsid w:val="11DA5FAC"/>
    <w:rsid w:val="124203BC"/>
    <w:rsid w:val="12456039"/>
    <w:rsid w:val="12606FE4"/>
    <w:rsid w:val="126C5962"/>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3B534C"/>
    <w:rsid w:val="16595AD6"/>
    <w:rsid w:val="165D02EF"/>
    <w:rsid w:val="166E3243"/>
    <w:rsid w:val="168B794A"/>
    <w:rsid w:val="1690726E"/>
    <w:rsid w:val="16B35A36"/>
    <w:rsid w:val="16D1158E"/>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370A73"/>
    <w:rsid w:val="19856E11"/>
    <w:rsid w:val="19AC6797"/>
    <w:rsid w:val="19FE3D52"/>
    <w:rsid w:val="1A1156F3"/>
    <w:rsid w:val="1A182E22"/>
    <w:rsid w:val="1A680331"/>
    <w:rsid w:val="1A7C2890"/>
    <w:rsid w:val="1AA846CB"/>
    <w:rsid w:val="1AA8733D"/>
    <w:rsid w:val="1B0051DB"/>
    <w:rsid w:val="1B1D327A"/>
    <w:rsid w:val="1B324FB0"/>
    <w:rsid w:val="1B5653C7"/>
    <w:rsid w:val="1B807109"/>
    <w:rsid w:val="1B975ED5"/>
    <w:rsid w:val="1BAF2B27"/>
    <w:rsid w:val="1C0A6142"/>
    <w:rsid w:val="1C2D6BF1"/>
    <w:rsid w:val="1C594598"/>
    <w:rsid w:val="1C7976A4"/>
    <w:rsid w:val="1C8735BD"/>
    <w:rsid w:val="1C8A1334"/>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E07E36"/>
    <w:rsid w:val="25027CEC"/>
    <w:rsid w:val="251A47DB"/>
    <w:rsid w:val="2577408E"/>
    <w:rsid w:val="257741A0"/>
    <w:rsid w:val="258D01A9"/>
    <w:rsid w:val="25B52C71"/>
    <w:rsid w:val="25D474A1"/>
    <w:rsid w:val="25E01AE5"/>
    <w:rsid w:val="260C0C73"/>
    <w:rsid w:val="263458F1"/>
    <w:rsid w:val="265B10B1"/>
    <w:rsid w:val="26AF4890"/>
    <w:rsid w:val="26C679EB"/>
    <w:rsid w:val="26EB3598"/>
    <w:rsid w:val="271B442E"/>
    <w:rsid w:val="27240F9C"/>
    <w:rsid w:val="272B664F"/>
    <w:rsid w:val="272D09AF"/>
    <w:rsid w:val="27862223"/>
    <w:rsid w:val="279327F5"/>
    <w:rsid w:val="27A31EDE"/>
    <w:rsid w:val="27B91633"/>
    <w:rsid w:val="27BE4B44"/>
    <w:rsid w:val="27CB0DDA"/>
    <w:rsid w:val="27D0173F"/>
    <w:rsid w:val="27DD18F1"/>
    <w:rsid w:val="28163B2C"/>
    <w:rsid w:val="281B2B80"/>
    <w:rsid w:val="28227A69"/>
    <w:rsid w:val="28331906"/>
    <w:rsid w:val="28DC66D6"/>
    <w:rsid w:val="28E6016C"/>
    <w:rsid w:val="28E61363"/>
    <w:rsid w:val="28ED5120"/>
    <w:rsid w:val="28F81A01"/>
    <w:rsid w:val="293C4340"/>
    <w:rsid w:val="29560FAD"/>
    <w:rsid w:val="29630D60"/>
    <w:rsid w:val="299261A8"/>
    <w:rsid w:val="29976826"/>
    <w:rsid w:val="2A447D96"/>
    <w:rsid w:val="2A484AE4"/>
    <w:rsid w:val="2AA22547"/>
    <w:rsid w:val="2AA27CAB"/>
    <w:rsid w:val="2ACE06C6"/>
    <w:rsid w:val="2B0651FF"/>
    <w:rsid w:val="2B8E3855"/>
    <w:rsid w:val="2B942C10"/>
    <w:rsid w:val="2BBE7D2C"/>
    <w:rsid w:val="2BD41345"/>
    <w:rsid w:val="2BEE5854"/>
    <w:rsid w:val="2C1A6473"/>
    <w:rsid w:val="2C897AD5"/>
    <w:rsid w:val="2CBD4227"/>
    <w:rsid w:val="2CFC2C0B"/>
    <w:rsid w:val="2D1F1FF1"/>
    <w:rsid w:val="2D266524"/>
    <w:rsid w:val="2D2C75CF"/>
    <w:rsid w:val="2D4C2D0F"/>
    <w:rsid w:val="2D8C25BE"/>
    <w:rsid w:val="2DBB66F9"/>
    <w:rsid w:val="2DD90901"/>
    <w:rsid w:val="2E3F6FF1"/>
    <w:rsid w:val="2E4E27CA"/>
    <w:rsid w:val="2E5D0DE4"/>
    <w:rsid w:val="2E642F68"/>
    <w:rsid w:val="2EBA6468"/>
    <w:rsid w:val="2ED647A7"/>
    <w:rsid w:val="2ED6546B"/>
    <w:rsid w:val="2ED96FE6"/>
    <w:rsid w:val="2EE96EDE"/>
    <w:rsid w:val="2EFD6C01"/>
    <w:rsid w:val="2F1E329D"/>
    <w:rsid w:val="2F4770B7"/>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86794B"/>
    <w:rsid w:val="318F0C07"/>
    <w:rsid w:val="31E871BF"/>
    <w:rsid w:val="31EC42D3"/>
    <w:rsid w:val="31F01E96"/>
    <w:rsid w:val="320870E0"/>
    <w:rsid w:val="3210025C"/>
    <w:rsid w:val="321466A7"/>
    <w:rsid w:val="321E0005"/>
    <w:rsid w:val="32352F48"/>
    <w:rsid w:val="3246521D"/>
    <w:rsid w:val="3297664C"/>
    <w:rsid w:val="32B86216"/>
    <w:rsid w:val="32BF1CD9"/>
    <w:rsid w:val="32D6021D"/>
    <w:rsid w:val="33456D0A"/>
    <w:rsid w:val="334B2D3B"/>
    <w:rsid w:val="334C77CF"/>
    <w:rsid w:val="33563FC4"/>
    <w:rsid w:val="335E5AD0"/>
    <w:rsid w:val="33676308"/>
    <w:rsid w:val="33C375AD"/>
    <w:rsid w:val="33ED4BAD"/>
    <w:rsid w:val="34460C91"/>
    <w:rsid w:val="344F318A"/>
    <w:rsid w:val="345676E2"/>
    <w:rsid w:val="345C691A"/>
    <w:rsid w:val="345D2E42"/>
    <w:rsid w:val="345E214B"/>
    <w:rsid w:val="34A50961"/>
    <w:rsid w:val="34AD087C"/>
    <w:rsid w:val="34BD1D33"/>
    <w:rsid w:val="34CD2EB2"/>
    <w:rsid w:val="34FE33DD"/>
    <w:rsid w:val="35293D5E"/>
    <w:rsid w:val="35296672"/>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7C248EE"/>
    <w:rsid w:val="380D2B38"/>
    <w:rsid w:val="383F0F87"/>
    <w:rsid w:val="38504241"/>
    <w:rsid w:val="387C43FD"/>
    <w:rsid w:val="387D7DFF"/>
    <w:rsid w:val="38964620"/>
    <w:rsid w:val="38982704"/>
    <w:rsid w:val="38AD14DD"/>
    <w:rsid w:val="38DB08A3"/>
    <w:rsid w:val="39550A9F"/>
    <w:rsid w:val="3971511E"/>
    <w:rsid w:val="397C2D3D"/>
    <w:rsid w:val="39AF4AF7"/>
    <w:rsid w:val="39B85181"/>
    <w:rsid w:val="39E25B2E"/>
    <w:rsid w:val="39FA0457"/>
    <w:rsid w:val="39FA6C16"/>
    <w:rsid w:val="3A060D37"/>
    <w:rsid w:val="3A2566BB"/>
    <w:rsid w:val="3A3037FF"/>
    <w:rsid w:val="3A321453"/>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73F80"/>
    <w:rsid w:val="3D690B94"/>
    <w:rsid w:val="3D7A7192"/>
    <w:rsid w:val="3DB138D5"/>
    <w:rsid w:val="3DB40E70"/>
    <w:rsid w:val="3E1450A0"/>
    <w:rsid w:val="3E2E0A25"/>
    <w:rsid w:val="3E3B24BF"/>
    <w:rsid w:val="3E64265A"/>
    <w:rsid w:val="3E6C3FAF"/>
    <w:rsid w:val="3E8E0FDF"/>
    <w:rsid w:val="3E93172F"/>
    <w:rsid w:val="3EA51E2C"/>
    <w:rsid w:val="3EAC040D"/>
    <w:rsid w:val="3EDE7902"/>
    <w:rsid w:val="3EF34B07"/>
    <w:rsid w:val="3F1617B9"/>
    <w:rsid w:val="3F72094D"/>
    <w:rsid w:val="3F897CE4"/>
    <w:rsid w:val="3FAD777A"/>
    <w:rsid w:val="3FC52740"/>
    <w:rsid w:val="3FD1085F"/>
    <w:rsid w:val="3FF13A3F"/>
    <w:rsid w:val="40117EB2"/>
    <w:rsid w:val="401A03CE"/>
    <w:rsid w:val="406075D2"/>
    <w:rsid w:val="406D1780"/>
    <w:rsid w:val="409A1B98"/>
    <w:rsid w:val="40CD6B92"/>
    <w:rsid w:val="411B4824"/>
    <w:rsid w:val="413D5C6F"/>
    <w:rsid w:val="413D73C6"/>
    <w:rsid w:val="415F3189"/>
    <w:rsid w:val="4181493C"/>
    <w:rsid w:val="41902C7B"/>
    <w:rsid w:val="41A22AC3"/>
    <w:rsid w:val="41DE0C28"/>
    <w:rsid w:val="42120A50"/>
    <w:rsid w:val="42440B9D"/>
    <w:rsid w:val="424625C8"/>
    <w:rsid w:val="426974B2"/>
    <w:rsid w:val="428C0159"/>
    <w:rsid w:val="42950901"/>
    <w:rsid w:val="42C579CC"/>
    <w:rsid w:val="42C62A86"/>
    <w:rsid w:val="42CD5499"/>
    <w:rsid w:val="42EA60E9"/>
    <w:rsid w:val="434314FE"/>
    <w:rsid w:val="435201BE"/>
    <w:rsid w:val="435C52D6"/>
    <w:rsid w:val="43645516"/>
    <w:rsid w:val="437A2C86"/>
    <w:rsid w:val="439C25AD"/>
    <w:rsid w:val="44241DDE"/>
    <w:rsid w:val="44276889"/>
    <w:rsid w:val="44364115"/>
    <w:rsid w:val="44503942"/>
    <w:rsid w:val="44530233"/>
    <w:rsid w:val="44E1632C"/>
    <w:rsid w:val="44EB798A"/>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88241AC"/>
    <w:rsid w:val="488A01D5"/>
    <w:rsid w:val="489A5AD0"/>
    <w:rsid w:val="48BC0178"/>
    <w:rsid w:val="48E2348D"/>
    <w:rsid w:val="490B58A7"/>
    <w:rsid w:val="491A0CE2"/>
    <w:rsid w:val="492A3B5A"/>
    <w:rsid w:val="493C077D"/>
    <w:rsid w:val="49490F6C"/>
    <w:rsid w:val="49587306"/>
    <w:rsid w:val="495D7927"/>
    <w:rsid w:val="49A9444F"/>
    <w:rsid w:val="49EE28F9"/>
    <w:rsid w:val="4A1242B7"/>
    <w:rsid w:val="4A20103D"/>
    <w:rsid w:val="4A2631E4"/>
    <w:rsid w:val="4A9061CF"/>
    <w:rsid w:val="4A955F53"/>
    <w:rsid w:val="4B024453"/>
    <w:rsid w:val="4B144D40"/>
    <w:rsid w:val="4B230331"/>
    <w:rsid w:val="4B2E7D8D"/>
    <w:rsid w:val="4B4107D0"/>
    <w:rsid w:val="4B544132"/>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A30BC4"/>
    <w:rsid w:val="4DCB1184"/>
    <w:rsid w:val="4DD866BC"/>
    <w:rsid w:val="4DDD5294"/>
    <w:rsid w:val="4E1472EE"/>
    <w:rsid w:val="4E33012A"/>
    <w:rsid w:val="4E552608"/>
    <w:rsid w:val="4E68191A"/>
    <w:rsid w:val="4E6B1DD7"/>
    <w:rsid w:val="4E857630"/>
    <w:rsid w:val="4E8F1021"/>
    <w:rsid w:val="4E960D48"/>
    <w:rsid w:val="4EE00DC9"/>
    <w:rsid w:val="4EE707FB"/>
    <w:rsid w:val="4F002168"/>
    <w:rsid w:val="4F3E18B2"/>
    <w:rsid w:val="4FB17A29"/>
    <w:rsid w:val="4FEA56E6"/>
    <w:rsid w:val="503150E3"/>
    <w:rsid w:val="503E3091"/>
    <w:rsid w:val="50836079"/>
    <w:rsid w:val="509171DA"/>
    <w:rsid w:val="50A306DC"/>
    <w:rsid w:val="50CB4649"/>
    <w:rsid w:val="50E95D6C"/>
    <w:rsid w:val="51057F79"/>
    <w:rsid w:val="51475CC0"/>
    <w:rsid w:val="514D59E0"/>
    <w:rsid w:val="51694330"/>
    <w:rsid w:val="51895191"/>
    <w:rsid w:val="51AF698E"/>
    <w:rsid w:val="51B42375"/>
    <w:rsid w:val="51C06621"/>
    <w:rsid w:val="51C23BAD"/>
    <w:rsid w:val="51DD319C"/>
    <w:rsid w:val="520F6D93"/>
    <w:rsid w:val="52252EBD"/>
    <w:rsid w:val="529B6F98"/>
    <w:rsid w:val="52A66C49"/>
    <w:rsid w:val="52B63145"/>
    <w:rsid w:val="52BB1F28"/>
    <w:rsid w:val="52E71FB4"/>
    <w:rsid w:val="53544EA5"/>
    <w:rsid w:val="53AE5964"/>
    <w:rsid w:val="53B54782"/>
    <w:rsid w:val="54494545"/>
    <w:rsid w:val="547B4879"/>
    <w:rsid w:val="54AA0A30"/>
    <w:rsid w:val="54B00903"/>
    <w:rsid w:val="54CB7EA9"/>
    <w:rsid w:val="54DE3031"/>
    <w:rsid w:val="55696361"/>
    <w:rsid w:val="55703232"/>
    <w:rsid w:val="558D62F1"/>
    <w:rsid w:val="559270E0"/>
    <w:rsid w:val="55EB77C0"/>
    <w:rsid w:val="562F0357"/>
    <w:rsid w:val="564F69B6"/>
    <w:rsid w:val="565054D2"/>
    <w:rsid w:val="566E1BF3"/>
    <w:rsid w:val="569F775B"/>
    <w:rsid w:val="570A2F69"/>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526204"/>
    <w:rsid w:val="59AD0C40"/>
    <w:rsid w:val="59AD1538"/>
    <w:rsid w:val="59AE2D44"/>
    <w:rsid w:val="59C23FD3"/>
    <w:rsid w:val="5A0B5E95"/>
    <w:rsid w:val="5A246F57"/>
    <w:rsid w:val="5A377F44"/>
    <w:rsid w:val="5A4A1367"/>
    <w:rsid w:val="5A742D4C"/>
    <w:rsid w:val="5AB03123"/>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80343C"/>
    <w:rsid w:val="5D850726"/>
    <w:rsid w:val="5DDC3B1D"/>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B07DD"/>
    <w:rsid w:val="5F4F7A12"/>
    <w:rsid w:val="5F9C495E"/>
    <w:rsid w:val="5FCA2AA7"/>
    <w:rsid w:val="604C5FB7"/>
    <w:rsid w:val="60A239C9"/>
    <w:rsid w:val="60CB5549"/>
    <w:rsid w:val="60FA6D79"/>
    <w:rsid w:val="610A150D"/>
    <w:rsid w:val="61175A8E"/>
    <w:rsid w:val="613A17BA"/>
    <w:rsid w:val="61577614"/>
    <w:rsid w:val="617F1A46"/>
    <w:rsid w:val="61D6236B"/>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1E1035"/>
    <w:rsid w:val="643D7B82"/>
    <w:rsid w:val="64806028"/>
    <w:rsid w:val="64CF2277"/>
    <w:rsid w:val="64F73439"/>
    <w:rsid w:val="650802E3"/>
    <w:rsid w:val="650B252D"/>
    <w:rsid w:val="6530763D"/>
    <w:rsid w:val="6531024B"/>
    <w:rsid w:val="65506B03"/>
    <w:rsid w:val="6574639E"/>
    <w:rsid w:val="657D32A1"/>
    <w:rsid w:val="657E3736"/>
    <w:rsid w:val="66083494"/>
    <w:rsid w:val="66257BD6"/>
    <w:rsid w:val="66345708"/>
    <w:rsid w:val="667C7C00"/>
    <w:rsid w:val="668E1C3C"/>
    <w:rsid w:val="66B836C5"/>
    <w:rsid w:val="66E84324"/>
    <w:rsid w:val="66F44120"/>
    <w:rsid w:val="672375EA"/>
    <w:rsid w:val="67321F44"/>
    <w:rsid w:val="67390939"/>
    <w:rsid w:val="676C2CBF"/>
    <w:rsid w:val="67C046AA"/>
    <w:rsid w:val="681836FD"/>
    <w:rsid w:val="68791231"/>
    <w:rsid w:val="68812F96"/>
    <w:rsid w:val="688A1D55"/>
    <w:rsid w:val="688F058D"/>
    <w:rsid w:val="68BF756D"/>
    <w:rsid w:val="68CE27BB"/>
    <w:rsid w:val="68E56882"/>
    <w:rsid w:val="68F84167"/>
    <w:rsid w:val="691F09A3"/>
    <w:rsid w:val="694A2AD0"/>
    <w:rsid w:val="69500604"/>
    <w:rsid w:val="696D08E0"/>
    <w:rsid w:val="69C15A14"/>
    <w:rsid w:val="69CB2A62"/>
    <w:rsid w:val="69CC2B0F"/>
    <w:rsid w:val="69D82D07"/>
    <w:rsid w:val="6A07511F"/>
    <w:rsid w:val="6A8848D8"/>
    <w:rsid w:val="6A9D190B"/>
    <w:rsid w:val="6AC10B58"/>
    <w:rsid w:val="6AC41799"/>
    <w:rsid w:val="6B391F39"/>
    <w:rsid w:val="6B8954B5"/>
    <w:rsid w:val="6B97532A"/>
    <w:rsid w:val="6BAE42B9"/>
    <w:rsid w:val="6BBD214F"/>
    <w:rsid w:val="6BDF5F4E"/>
    <w:rsid w:val="6BED58AF"/>
    <w:rsid w:val="6C4140F9"/>
    <w:rsid w:val="6C50014D"/>
    <w:rsid w:val="6C597288"/>
    <w:rsid w:val="6C612D7E"/>
    <w:rsid w:val="6C7102D6"/>
    <w:rsid w:val="6C9D1BCF"/>
    <w:rsid w:val="6CA711B8"/>
    <w:rsid w:val="6CC01C2A"/>
    <w:rsid w:val="6CC170A1"/>
    <w:rsid w:val="6D125C14"/>
    <w:rsid w:val="6D15265D"/>
    <w:rsid w:val="6D2F50C1"/>
    <w:rsid w:val="6D3470DE"/>
    <w:rsid w:val="6D4275F9"/>
    <w:rsid w:val="6D5956B9"/>
    <w:rsid w:val="6D914092"/>
    <w:rsid w:val="6D9B3A9B"/>
    <w:rsid w:val="6DAA1F11"/>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AD0488"/>
    <w:rsid w:val="70CE0EE6"/>
    <w:rsid w:val="70ED5338"/>
    <w:rsid w:val="70F161A9"/>
    <w:rsid w:val="70F76ABE"/>
    <w:rsid w:val="7105298C"/>
    <w:rsid w:val="71124B9B"/>
    <w:rsid w:val="713E6EBD"/>
    <w:rsid w:val="714063D2"/>
    <w:rsid w:val="714E09F3"/>
    <w:rsid w:val="717362D3"/>
    <w:rsid w:val="71ED6415"/>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075CC"/>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C13E5"/>
    <w:rsid w:val="761E064F"/>
    <w:rsid w:val="7663600F"/>
    <w:rsid w:val="767B3928"/>
    <w:rsid w:val="767D2049"/>
    <w:rsid w:val="76806563"/>
    <w:rsid w:val="768207A5"/>
    <w:rsid w:val="76A2179B"/>
    <w:rsid w:val="76A553DC"/>
    <w:rsid w:val="76D51348"/>
    <w:rsid w:val="76D66050"/>
    <w:rsid w:val="770352EE"/>
    <w:rsid w:val="77495F86"/>
    <w:rsid w:val="77565832"/>
    <w:rsid w:val="776E4150"/>
    <w:rsid w:val="77890BDB"/>
    <w:rsid w:val="7793733B"/>
    <w:rsid w:val="77BA414F"/>
    <w:rsid w:val="77D3660D"/>
    <w:rsid w:val="785437D3"/>
    <w:rsid w:val="78565AAF"/>
    <w:rsid w:val="78BE7CBA"/>
    <w:rsid w:val="78C10517"/>
    <w:rsid w:val="78C71CD3"/>
    <w:rsid w:val="78DD3131"/>
    <w:rsid w:val="78E4026D"/>
    <w:rsid w:val="791F0F72"/>
    <w:rsid w:val="79427878"/>
    <w:rsid w:val="79430348"/>
    <w:rsid w:val="79701A39"/>
    <w:rsid w:val="799975C1"/>
    <w:rsid w:val="79B810F6"/>
    <w:rsid w:val="7A082988"/>
    <w:rsid w:val="7A1C10FB"/>
    <w:rsid w:val="7A286937"/>
    <w:rsid w:val="7A33250D"/>
    <w:rsid w:val="7A424D7F"/>
    <w:rsid w:val="7A4D4FC3"/>
    <w:rsid w:val="7A8A4F36"/>
    <w:rsid w:val="7AB87EDD"/>
    <w:rsid w:val="7ABA7BB0"/>
    <w:rsid w:val="7ABB0624"/>
    <w:rsid w:val="7AC84DC1"/>
    <w:rsid w:val="7AE64B83"/>
    <w:rsid w:val="7AF42850"/>
    <w:rsid w:val="7B002162"/>
    <w:rsid w:val="7B124FB7"/>
    <w:rsid w:val="7B361A8A"/>
    <w:rsid w:val="7B4D52D4"/>
    <w:rsid w:val="7B83108A"/>
    <w:rsid w:val="7BAE5A06"/>
    <w:rsid w:val="7BDF1C40"/>
    <w:rsid w:val="7BFE2799"/>
    <w:rsid w:val="7C252FF6"/>
    <w:rsid w:val="7CAB63B7"/>
    <w:rsid w:val="7CB818B8"/>
    <w:rsid w:val="7CD50713"/>
    <w:rsid w:val="7D3D72D7"/>
    <w:rsid w:val="7D8C5E76"/>
    <w:rsid w:val="7DA0352B"/>
    <w:rsid w:val="7DB019FA"/>
    <w:rsid w:val="7DCC7103"/>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ED81A1E-2BC0-4237-97C3-B5C68E62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List"/>
    <w:basedOn w:val="a"/>
    <w:qFormat/>
    <w:pPr>
      <w:ind w:left="568" w:hanging="284"/>
    </w:pPr>
  </w:style>
  <w:style w:type="paragraph" w:styleId="aa">
    <w:name w:val="Normal (Web)"/>
    <w:basedOn w:val="a"/>
    <w:uiPriority w:val="99"/>
    <w:qFormat/>
    <w:pPr>
      <w:spacing w:beforeAutospacing="1" w:after="0" w:afterAutospacing="1"/>
    </w:pPr>
    <w:rPr>
      <w:rFonts w:cs="Times New Roman"/>
      <w:sz w:val="24"/>
    </w:rPr>
  </w:style>
  <w:style w:type="paragraph" w:styleId="ab">
    <w:name w:val="annotation subject"/>
    <w:basedOn w:val="a4"/>
    <w:next w:val="a4"/>
    <w:link w:val="Char5"/>
    <w:qFormat/>
    <w:rPr>
      <w:b/>
      <w:bCs/>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bCs/>
    </w:rPr>
  </w:style>
  <w:style w:type="character" w:styleId="ae">
    <w:name w:val="Emphasis"/>
    <w:basedOn w:val="a0"/>
    <w:qFormat/>
    <w:rPr>
      <w:i/>
    </w:rPr>
  </w:style>
  <w:style w:type="character" w:styleId="af">
    <w:name w:val="annotation reference"/>
    <w:basedOn w:val="a0"/>
    <w:qFormat/>
    <w:rPr>
      <w:sz w:val="21"/>
      <w:szCs w:val="21"/>
    </w:r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paragraph" w:styleId="af0">
    <w:name w:val="List Paragraph"/>
    <w:basedOn w:val="a"/>
    <w:link w:val="Char6"/>
    <w:uiPriority w:val="34"/>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b"/>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1">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9"/>
    <w:qFormat/>
  </w:style>
  <w:style w:type="paragraph" w:customStyle="1" w:styleId="B2">
    <w:name w:val="B2"/>
    <w:basedOn w:val="a"/>
    <w:qFormat/>
    <w:pPr>
      <w:ind w:left="851" w:hanging="284"/>
    </w:pPr>
  </w:style>
  <w:style w:type="character" w:customStyle="1" w:styleId="Char6">
    <w:name w:val="列出段落 Char"/>
    <w:link w:val="af0"/>
    <w:uiPriority w:val="34"/>
    <w:qFormat/>
    <w:locked/>
    <w:rPr>
      <w:rFonts w:asciiTheme="minorHAnsi" w:eastAsiaTheme="minorEastAsia" w:hAnsiTheme="minorHAnsi" w:cstheme="minorBidi"/>
      <w:sz w:val="22"/>
      <w:szCs w:val="22"/>
    </w:rPr>
  </w:style>
  <w:style w:type="paragraph" w:customStyle="1" w:styleId="xmsonormal0">
    <w:name w:val="xmsonormal"/>
    <w:basedOn w:val="a"/>
    <w:uiPriority w:val="99"/>
    <w:qFormat/>
    <w:pPr>
      <w:spacing w:after="0" w:line="240" w:lineRule="auto"/>
      <w:jc w:val="both"/>
    </w:pPr>
    <w:rPr>
      <w:rFonts w:ascii="Times New Roman" w:eastAsiaTheme="minorHAnsi" w:hAnsi="Times New Roman" w:cs="Calibri"/>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7DC74A-033E-4FE3-B197-7BAD2FD6C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3765</Words>
  <Characters>21462</Characters>
  <Application>Microsoft Office Word</Application>
  <DocSecurity>0</DocSecurity>
  <Lines>178</Lines>
  <Paragraphs>50</Paragraphs>
  <ScaleCrop>false</ScaleCrop>
  <Company/>
  <LinksUpToDate>false</LinksUpToDate>
  <CharactersWithSpaces>25177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Nan-ZTE</cp:lastModifiedBy>
  <cp:revision>93</cp:revision>
  <dcterms:created xsi:type="dcterms:W3CDTF">2022-08-11T08:10:00Z</dcterms:created>
  <dcterms:modified xsi:type="dcterms:W3CDTF">2022-09-30T08:59:00Z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